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two-earnings-predictions--2026-08-07"/>
    <w:p>
      <w:pPr>
        <w:pStyle w:val="Heading1"/>
      </w:pPr>
      <w:r>
        <w:t xml:space="preserve">TTWO Earnings Predictions — 2026-08-07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Net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~$1.40B vs. cons $1.36B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Q1 FY27 GAAP EPS (net loss/share)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</w:t>
            </w:r>
            <m:oMath>
              <m:r>
                <m:t>0.15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rPr>
                  <m:sty m:val="p"/>
                </m:rPr>
                <m:t>−</m:t>
              </m:r>
            </m:oMath>
            <w:r>
              <w:t xml:space="preserve">0.21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Recurrent Consumer Spending growth YoY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~-1% vs. cons -3% (company-guided decline)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Full-Year Net Bookings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~$8.1B (reiterated $8.0-8.2B range) vs. cons $8.6B (FY2027)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FY2027 Operating Cash 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~$1.05B vs. cons $0.95B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Q2 FY2027 Net Bookings guidance (implied/next-Q)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~$1.55B vs. cons $1.52B (Q2 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TTWO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-0.5% (FADE)</w:t>
            </w:r>
          </w:p>
        </w:tc>
        <w:tc>
          <w:tcPr/>
          <w:p>
            <w:pPr>
              <w:pStyle w:val="Compact"/>
            </w:pPr>
            <w:r>
              <w:t xml:space="preserve">TTWO's Q1 print is a seasonally light, easy-to-beat bar it has cleared every quarter recently, so a beat is largely pre-priced and likely triggers only a modest pop. The bigger swing factor—FY2027 net bookings guidance (</w:t>
            </w:r>
            <m:oMath>
              <m:r>
                <m:t>8.0</m:t>
              </m:r>
              <m:r>
                <m:rPr>
                  <m:sty m:val="p"/>
                </m:rPr>
                <m:t>−</m:t>
              </m:r>
              <m:r>
                <m:t>8.2</m:t>
              </m:r>
              <m:r>
                <m:t>B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—</m:t>
              </m:r>
              <m:r>
                <m:t>i</m:t>
              </m:r>
              <m:r>
                <m:t>s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l</m:t>
              </m:r>
              <m:r>
                <m:t>i</m:t>
              </m:r>
              <m:r>
                <m:t>k</m:t>
              </m:r>
              <m:r>
                <m:t>e</m:t>
              </m:r>
              <m:r>
                <m:t>l</m:t>
              </m:r>
              <m:r>
                <m:t>y</m:t>
              </m:r>
              <m:r>
                <m:t>r</m:t>
              </m:r>
              <m:r>
                <m:t>e</m:t>
              </m:r>
              <m:r>
                <m:t>i</m:t>
              </m:r>
              <m:r>
                <m:t>t</m:t>
              </m:r>
              <m:r>
                <m:t>e</m:t>
              </m:r>
              <m:r>
                <m:t>r</m:t>
              </m:r>
              <m:r>
                <m:t>a</m:t>
              </m:r>
              <m:r>
                <m:t>t</m:t>
              </m:r>
              <m:r>
                <m:t>e</m:t>
              </m:r>
              <m:r>
                <m:t>d</m:t>
              </m:r>
              <m:r>
                <m:t>r</m:t>
              </m:r>
              <m:r>
                <m:t>a</m:t>
              </m:r>
              <m:r>
                <m:t>t</m:t>
              </m:r>
              <m:r>
                <m:t>h</m:t>
              </m:r>
              <m:r>
                <m:t>e</m:t>
              </m:r>
              <m:r>
                <m:t>r</m:t>
              </m:r>
              <m:r>
                <m:t>t</m:t>
              </m:r>
              <m:r>
                <m:t>h</m:t>
              </m:r>
              <m:r>
                <m:t>a</m:t>
              </m:r>
              <m:r>
                <m:t>n</m:t>
              </m:r>
              <m:r>
                <m:t>r</m:t>
              </m:r>
              <m:r>
                <m:t>a</m:t>
              </m:r>
              <m:r>
                <m:t>i</m:t>
              </m:r>
              <m:r>
                <m:t>s</m:t>
              </m:r>
              <m:r>
                <m:t>e</m:t>
              </m:r>
              <m:r>
                <m:t>d</m:t>
              </m:r>
              <m:r>
                <m:t>t</m:t>
              </m:r>
              <m:r>
                <m:t>h</m:t>
              </m:r>
              <m:r>
                <m:t>i</m:t>
              </m:r>
              <m:r>
                <m:t>s</m:t>
              </m:r>
              <m:r>
                <m:t>e</m:t>
              </m:r>
              <m:r>
                <m:t>a</m:t>
              </m:r>
              <m:r>
                <m:t>r</m:t>
              </m:r>
              <m:r>
                <m:t>l</m:t>
              </m:r>
              <m:r>
                <m:t>y</m:t>
              </m:r>
              <m:r>
                <m:rPr>
                  <m:sty m:val="p"/>
                </m:rPr>
                <m:t>,</m:t>
              </m:r>
              <m:r>
                <m:t>a</m:t>
              </m:r>
              <m:r>
                <m:t>n</m:t>
              </m:r>
              <m:r>
                <m:t>d</m:t>
              </m:r>
              <m:r>
                <m:t>r</m:t>
              </m:r>
              <m:r>
                <m:t>e</m:t>
              </m:r>
              <m:r>
                <m:t>m</m:t>
              </m:r>
              <m:r>
                <m:t>a</m:t>
              </m:r>
              <m:r>
                <m:t>i</m:t>
              </m:r>
              <m:r>
                <m:t>n</m:t>
              </m:r>
              <m:r>
                <m:t>s</m:t>
              </m:r>
              <m:r>
                <m:t> </m:t>
              </m:r>
              <m:r>
                <m:t>5</m:t>
              </m:r>
              <m:r>
                <m:rPr>
                  <m:sty m:val="p"/>
                </m:rPr>
                <m:t>−</m:t>
              </m:r>
              <m:r>
                <m:t>6</m:t>
              </m:r>
            </m:oMath>
            <w:r>
              <w:t xml:space="preserve">8.6B model; that gap forces analysts to true-down out-quarter/out-year estimates even after a Q1 beat. Combined with continued silence on the GTA VI trailer/marketing cadence (the real catalyst investors are waiting on) and the stock already sitting mid-to-upper in its $210-255 range, initial enthusiasm is likely to fade over the following days as the conservative full-year framework and lack of incremental GTA VI news get digested.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2026-08-07T00:06:04Z</dcterms:created>
  <dcterms:modified xsi:type="dcterms:W3CDTF">2026-08-07T00:06:04Z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