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e9230667e9713554739e8c15c8c98e20f2a16ce"/>
    <w:p>
      <w:pPr>
        <w:pStyle w:val="Heading1"/>
      </w:pPr>
      <w:r>
        <w:t xml:space="preserve">Take-Two Interactive (TTWO) — Q1 FY2027 Earnings Preview</w:t>
      </w:r>
    </w:p>
    <w:p>
      <w:pPr>
        <w:pStyle w:val="FirstParagraph"/>
      </w:pPr>
      <w:r>
        <w:rPr>
          <w:b/>
          <w:bCs/>
        </w:rPr>
        <w:t xml:space="preserve">Report Date:</w:t>
      </w:r>
      <w:r>
        <w:t xml:space="preserve"> </w:t>
      </w:r>
      <w:r>
        <w:t xml:space="preserve">Friday, August 7, 2026 (before market open) |</w:t>
      </w:r>
      <w:r>
        <w:t xml:space="preserve"> </w:t>
      </w:r>
      <w:r>
        <w:rPr>
          <w:b/>
          <w:bCs/>
        </w:rPr>
        <w:t xml:space="preserve">Fiscal Period:</w:t>
      </w:r>
      <w:r>
        <w:t xml:space="preserve"> </w:t>
      </w:r>
      <w:r>
        <w:t xml:space="preserve">Q1 FY2027 (quarter ended June 30,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TTWO shares have been range-bound in the</w:t>
      </w:r>
      <w:r>
        <w:t xml:space="preserve"> </w:t>
      </w:r>
      <m:oMath>
        <m:r>
          <m:t>210</m:t>
        </m:r>
        <m:r>
          <m:rPr>
            <m:sty m:val="p"/>
          </m:rPr>
          <m:t>–</m:t>
        </m:r>
      </m:oMath>
      <w:r>
        <w:t xml:space="preserve">255 band since the May 21 Q4/FY26 report, closing at **</w:t>
      </w:r>
      <m:oMath>
        <m:r>
          <m:t>232.51</m:t>
        </m:r>
        <m:r>
          <m:t>o</m:t>
        </m:r>
        <m:r>
          <m:t>n</m:t>
        </m:r>
        <m:r>
          <m:t>A</m:t>
        </m:r>
        <m:r>
          <m:t>u</m:t>
        </m:r>
        <m:r>
          <m:t>g</m:t>
        </m:r>
        <m:r>
          <m:t>u</m:t>
        </m:r>
        <m:r>
          <m:t>s</m:t>
        </m:r>
        <m:r>
          <m:t>t</m:t>
        </m:r>
        <m:r>
          <m:t>6</m:t>
        </m:r>
        <m:r>
          <m:rPr>
            <m:sty m:val="p"/>
          </m:rPr>
          <m:t>*</m:t>
        </m:r>
        <m:r>
          <m:rPr>
            <m:sty m:val="p"/>
          </m:rPr>
          <m:t>*</m:t>
        </m:r>
        <m:r>
          <m:rPr>
            <m:sty m:val="p"/>
          </m:rPr>
          <m:t>,</m:t>
        </m:r>
        <m:r>
          <m:t>r</m:t>
        </m:r>
        <m:r>
          <m:t>o</m:t>
        </m:r>
        <m:r>
          <m:t>u</m:t>
        </m:r>
        <m:r>
          <m:t>g</m:t>
        </m:r>
        <m:r>
          <m:t>h</m:t>
        </m:r>
        <m:r>
          <m:t>l</m:t>
        </m:r>
        <m:r>
          <m:t>y</m:t>
        </m:r>
        <m:r>
          <m:t>f</m:t>
        </m:r>
        <m:r>
          <m:t>l</m:t>
        </m:r>
        <m:r>
          <m:t>a</m:t>
        </m:r>
        <m:r>
          <m:t>t</m:t>
        </m:r>
        <m:r>
          <m:t>s</m:t>
        </m:r>
        <m:r>
          <m:t>i</m:t>
        </m:r>
        <m:r>
          <m:t>n</m:t>
        </m:r>
        <m:r>
          <m:t>c</m:t>
        </m:r>
        <m:r>
          <m:t>e</m:t>
        </m:r>
        <m:r>
          <m:t>t</m:t>
        </m:r>
        <m:r>
          <m:t>h</m:t>
        </m:r>
        <m:r>
          <m:t>e</m:t>
        </m:r>
        <m:r>
          <m:t>l</m:t>
        </m:r>
        <m:r>
          <m:t>a</m:t>
        </m:r>
        <m:r>
          <m:t>s</m:t>
        </m:r>
        <m:r>
          <m:t>t</m:t>
        </m:r>
        <m:r>
          <m:t>e</m:t>
        </m:r>
        <m:r>
          <m:t>a</m:t>
        </m:r>
        <m:r>
          <m:t>r</m:t>
        </m:r>
        <m:r>
          <m:t>n</m:t>
        </m:r>
        <m:r>
          <m:t>i</m:t>
        </m:r>
        <m:r>
          <m:t>n</m:t>
        </m:r>
        <m:r>
          <m:t>g</m:t>
        </m:r>
        <m:r>
          <m:t>s</m:t>
        </m:r>
        <m:r>
          <m:t>r</m:t>
        </m:r>
        <m:r>
          <m:t>e</m:t>
        </m:r>
        <m:r>
          <m:t>a</m:t>
        </m:r>
        <m:r>
          <m:t>c</m:t>
        </m:r>
        <m:r>
          <m:t>t</m:t>
        </m:r>
        <m:r>
          <m:t>i</m:t>
        </m:r>
        <m:r>
          <m:t>o</m:t>
        </m:r>
        <m:r>
          <m:t>n</m:t>
        </m:r>
        <m:r>
          <m:t>b</m:t>
        </m:r>
        <m:r>
          <m:t>u</m:t>
        </m:r>
        <m:r>
          <m:t>t</m:t>
        </m:r>
        <m:r>
          <m:t>u</m:t>
        </m:r>
        <m:r>
          <m:t>p</m:t>
        </m:r>
        <m:r>
          <m:t>m</m:t>
        </m:r>
        <m:r>
          <m:t>e</m:t>
        </m:r>
        <m:r>
          <m:t>a</m:t>
        </m:r>
        <m:r>
          <m:t>n</m:t>
        </m:r>
        <m:r>
          <m:t>i</m:t>
        </m:r>
        <m:r>
          <m:t>n</m:t>
        </m:r>
        <m:r>
          <m:t>g</m:t>
        </m:r>
        <m:r>
          <m:t>f</m:t>
        </m:r>
        <m:r>
          <m:t>u</m:t>
        </m:r>
        <m:r>
          <m:t>l</m:t>
        </m:r>
        <m:r>
          <m:t>l</m:t>
        </m:r>
        <m:r>
          <m:t>y</m:t>
        </m:r>
        <m:r>
          <m:t>f</m:t>
        </m:r>
        <m:r>
          <m:t>r</m:t>
        </m:r>
        <m:r>
          <m:t>o</m:t>
        </m:r>
        <m:r>
          <m:t>m</m:t>
        </m:r>
        <m:r>
          <m:t>a</m:t>
        </m:r>
        <m:r>
          <m:t> </m:t>
        </m:r>
      </m:oMath>
      <w:r>
        <w:t xml:space="preserve">210 trough in mid-June. The stock is trading on a long runway of anticipation for</w:t>
      </w:r>
      <w:r>
        <w:t xml:space="preserve"> </w:t>
      </w:r>
      <w:r>
        <w:rPr>
          <w:b/>
          <w:bCs/>
        </w:rPr>
        <w:t xml:space="preserve">Grand Theft Auto VI</w:t>
      </w:r>
      <w:r>
        <w:t xml:space="preserve">, now confirmed for</w:t>
      </w:r>
      <w:r>
        <w:t xml:space="preserve"> </w:t>
      </w:r>
      <w:r>
        <w:rPr>
          <w:b/>
          <w:bCs/>
        </w:rPr>
        <w:t xml:space="preserve">November 19, 2026</w:t>
      </w:r>
      <w:r>
        <w:t xml:space="preserve">, which management has repeatedly said "won't be delayed again."</w:t>
      </w:r>
    </w:p>
    <w:p>
      <w:pPr>
        <w:pStyle w:val="BodyText"/>
      </w:pPr>
      <w:r>
        <w:t xml:space="preserve">This is a</w:t>
      </w:r>
      <w:r>
        <w:t xml:space="preserve"> </w:t>
      </w:r>
      <w:r>
        <w:rPr>
          <w:b/>
          <w:bCs/>
        </w:rPr>
        <w:t xml:space="preserve">transition-quarter</w:t>
      </w:r>
      <w:r>
        <w:t xml:space="preserve"> </w:t>
      </w:r>
      <w:r>
        <w:t xml:space="preserve">print — a seasonally light bookings quarter that sits ahead of the company's biggest launch in a decade. Investors are likely to treat the actual Q1 numbers as a formality and focus far more on tone around GTA VI marketing cadence, pre-order momentum, and FY2027 guidance durability.</w:t>
      </w:r>
    </w:p>
    <w:bookmarkEnd w:id="9"/>
    <w:bookmarkStart w:id="10" w:name="Xa3e03664caf4dc7b0abd0ec324e68a536974a64"/>
    <w:p>
      <w:pPr>
        <w:pStyle w:val="Heading2"/>
      </w:pPr>
      <w:r>
        <w:t xml:space="preserve">2. What Management Guided (and What the Street Expects)</w:t>
      </w:r>
    </w:p>
    <w:p>
      <w:pPr>
        <w:pStyle w:val="FirstParagraph"/>
      </w:pPr>
      <w:r>
        <w:t xml:space="preserve">On the May Q4 call, CFO Lainie Goldstein guided Q1 FY27 to net bookings ranging from $1.32 billion to $1.37 billion compared to</w:t>
      </w:r>
      <w:r>
        <w:t xml:space="preserve"> </w:t>
      </w:r>
      <m:oMath>
        <m:r>
          <m:t>1.42</m:t>
        </m:r>
        <m:r>
          <m:t>b</m:t>
        </m:r>
        <m:r>
          <m:t>i</m:t>
        </m:r>
        <m:r>
          <m:t>l</m:t>
        </m:r>
        <m:r>
          <m:t>l</m:t>
        </m:r>
        <m:r>
          <m:t>i</m:t>
        </m:r>
        <m:r>
          <m:t>o</m:t>
        </m:r>
        <m:r>
          <m:t>n</m:t>
        </m:r>
        <m:r>
          <m:t>i</m:t>
        </m:r>
        <m:r>
          <m:t>n</m:t>
        </m:r>
        <m:r>
          <m:t>t</m:t>
        </m:r>
        <m:r>
          <m:t>h</m:t>
        </m:r>
        <m:r>
          <m:t>e</m:t>
        </m:r>
        <m:r>
          <m:t>f</m:t>
        </m:r>
        <m:r>
          <m:t>i</m:t>
        </m:r>
        <m:r>
          <m:t>r</m:t>
        </m:r>
        <m:r>
          <m:t>s</m:t>
        </m:r>
        <m:r>
          <m:t>t</m:t>
        </m:r>
        <m:r>
          <m:t>q</m:t>
        </m:r>
        <m:r>
          <m:t>u</m:t>
        </m:r>
        <m:r>
          <m:t>a</m:t>
        </m:r>
        <m:r>
          <m:t>r</m:t>
        </m:r>
        <m:r>
          <m:t>t</m:t>
        </m:r>
        <m:r>
          <m:t>e</m:t>
        </m:r>
        <m:r>
          <m:t>r</m:t>
        </m:r>
        <m:r>
          <m:t>l</m:t>
        </m:r>
        <m:r>
          <m:t>a</m:t>
        </m:r>
        <m:r>
          <m:t>s</m:t>
        </m:r>
        <m:r>
          <m:t>t</m:t>
        </m:r>
        <m:r>
          <m:t>y</m:t>
        </m:r>
        <m:r>
          <m:t>e</m:t>
        </m:r>
        <m:r>
          <m:t>a</m:t>
        </m:r>
        <m:r>
          <m:t>r</m:t>
        </m:r>
        <m:r>
          <m:rPr>
            <m:sty m:val="p"/>
          </m:rPr>
          <m:t>,</m:t>
        </m:r>
        <m:r>
          <m:t>w</m:t>
        </m:r>
        <m:r>
          <m:t>i</m:t>
        </m:r>
        <m:r>
          <m:t>t</m:t>
        </m:r>
        <m:r>
          <m:t>h</m:t>
        </m:r>
        <m:r>
          <m:t>r</m:t>
        </m:r>
        <m:r>
          <m:t>e</m:t>
        </m:r>
        <m:r>
          <m:t>c</m:t>
        </m:r>
        <m:r>
          <m:t>u</m:t>
        </m:r>
        <m:r>
          <m:t>r</m:t>
        </m:r>
        <m:r>
          <m:t>r</m:t>
        </m:r>
        <m:r>
          <m:t>e</m:t>
        </m:r>
        <m:r>
          <m:t>n</m:t>
        </m:r>
        <m:r>
          <m:t>t</m:t>
        </m:r>
        <m:r>
          <m:t>c</m:t>
        </m:r>
        <m:r>
          <m:t>o</m:t>
        </m:r>
        <m:r>
          <m:t>n</m:t>
        </m:r>
        <m:r>
          <m:t>s</m:t>
        </m:r>
        <m:r>
          <m:t>u</m:t>
        </m:r>
        <m:r>
          <m:t>m</m:t>
        </m:r>
        <m:r>
          <m:t>e</m:t>
        </m:r>
        <m:r>
          <m:t>r</m:t>
        </m:r>
        <m:r>
          <m:t>s</m:t>
        </m:r>
        <m:r>
          <m:t>p</m:t>
        </m:r>
        <m:r>
          <m:t>e</m:t>
        </m:r>
        <m:r>
          <m:t>n</m:t>
        </m:r>
        <m:r>
          <m:t>d</m:t>
        </m:r>
        <m:r>
          <m:t>i</m:t>
        </m:r>
        <m:r>
          <m:t>n</m:t>
        </m:r>
        <m:r>
          <m:t>g</m:t>
        </m:r>
        <m:r>
          <m:t>e</m:t>
        </m:r>
        <m:r>
          <m:t>x</m:t>
        </m:r>
        <m:r>
          <m:t>p</m:t>
        </m:r>
        <m:r>
          <m:t>e</m:t>
        </m:r>
        <m:r>
          <m:t>c</m:t>
        </m:r>
        <m:r>
          <m:t>t</m:t>
        </m:r>
        <m:r>
          <m:t>e</m:t>
        </m:r>
        <m:r>
          <m:t>d</m:t>
        </m:r>
        <m:r>
          <m:t>t</m:t>
        </m:r>
        <m:r>
          <m:t>o</m:t>
        </m:r>
        <m:r>
          <m:t>d</m:t>
        </m:r>
        <m:r>
          <m:t>e</m:t>
        </m:r>
        <m:r>
          <m:t>c</m:t>
        </m:r>
        <m:r>
          <m:t>l</m:t>
        </m:r>
        <m:r>
          <m:t>i</m:t>
        </m:r>
        <m:r>
          <m:t>n</m:t>
        </m:r>
        <m:r>
          <m:t>e</m:t>
        </m:r>
        <m:r>
          <m:t>b</m:t>
        </m:r>
        <m:r>
          <m:t>y</m:t>
        </m:r>
        <m:r>
          <m:t>a</m:t>
        </m:r>
        <m:r>
          <m:t>p</m:t>
        </m:r>
        <m:r>
          <m:t>p</m:t>
        </m:r>
        <m:r>
          <m:t>r</m:t>
        </m:r>
        <m:r>
          <m:t>o</m:t>
        </m:r>
        <m:r>
          <m:t>x</m:t>
        </m:r>
        <m:r>
          <m:t>i</m:t>
        </m:r>
        <m:r>
          <m:t>m</m:t>
        </m:r>
        <m:r>
          <m:t>a</m:t>
        </m:r>
        <m:r>
          <m:t>t</m:t>
        </m:r>
        <m:r>
          <m:t>e</m:t>
        </m:r>
        <m:r>
          <m:t>l</m:t>
        </m:r>
        <m:r>
          <m:t>y</m:t>
        </m:r>
        <m:r>
          <m:t>3</m:t>
        </m:r>
      </m:oMath>
      <w:r>
        <w:t xml:space="preserve">1.45B–$1.50B net revenue** and a</w:t>
      </w:r>
      <w:r>
        <w:t xml:space="preserve"> </w:t>
      </w:r>
      <w:r>
        <w:rPr>
          <w:b/>
          <w:bCs/>
        </w:rPr>
        <w:t xml:space="preserve">net loss of</w:t>
      </w:r>
      <w:r>
        <w:rPr>
          <w:b/>
          <w:bCs/>
        </w:rPr>
        <w:t xml:space="preserve"> </w:t>
      </w:r>
      <m:oMath>
        <m:r>
          <m:t>0.27</m:t>
        </m:r>
        <m:r>
          <m:rPr>
            <m:sty m:val="p"/>
          </m:rPr>
          <m:t>–</m:t>
        </m:r>
      </m:oMath>
      <w:r>
        <w:rPr>
          <w:b/>
          <w:bCs/>
        </w:rPr>
        <w:t xml:space="preserve">0.42 per share</w:t>
      </w:r>
      <w:r>
        <w:t xml:space="preserve"> </w:t>
      </w:r>
      <w:r>
        <w:t xml:space="preserve">for the quarter.</w:t>
      </w:r>
    </w:p>
    <w:p>
      <w:pPr>
        <w:pStyle w:val="BodyText"/>
      </w:pPr>
      <w:r>
        <w:t xml:space="preserve">Sell-side consensus is roughly in line with the low-to-mid point of guidance: analysts are modeling</w:t>
      </w:r>
      <w:r>
        <w:t xml:space="preserve"> </w:t>
      </w:r>
      <w:r>
        <w:rPr>
          <w:b/>
          <w:bCs/>
        </w:rPr>
        <w:t xml:space="preserve">~$1.36 billion revenue</w:t>
      </w:r>
      <w:r>
        <w:t xml:space="preserve"> </w:t>
      </w:r>
      <w:r>
        <w:t xml:space="preserve">and a</w:t>
      </w:r>
      <w:r>
        <w:t xml:space="preserve"> </w:t>
      </w:r>
      <w:r>
        <w:rPr>
          <w:b/>
          <w:bCs/>
        </w:rPr>
        <w:t xml:space="preserve">GAAP loss around $0.21/share</w:t>
      </w:r>
      <w:r>
        <w:t xml:space="preserve">, with a wide dispersion (loss of</w:t>
      </w:r>
      <w:r>
        <w:t xml:space="preserve"> </w:t>
      </w:r>
      <m:oMath>
        <m:r>
          <m:t>0.12</m:t>
        </m:r>
        <m:r>
          <m:rPr>
            <m:sty m:val="p"/>
          </m:rPr>
          <m:t>–</m:t>
        </m:r>
      </m:oMath>
      <w:r>
        <w:t xml:space="preserve">0.32) reflecting uncertainty in mobile trends and GTA Online timing. Notably, Take-Two has a strong history of beating: it topped Zacks consensus in each of the trailing four quarters by an average surprise of roughly 69%, so the bar, while modest in absolute dollars, has been reliably cleared.</w:t>
      </w:r>
    </w:p>
    <w:p>
      <w:pPr>
        <w:pStyle w:val="BodyText"/>
      </w:pPr>
      <w:r>
        <w:t xml:space="preserve">For context on the full year, FY2027 guidance calls for</w:t>
      </w:r>
      <w:r>
        <w:t xml:space="preserve"> </w:t>
      </w:r>
      <w:r>
        <w:rPr>
          <w:b/>
          <w:bCs/>
        </w:rPr>
        <w:t xml:space="preserve">record net bookings of</w:t>
      </w:r>
      <w:r>
        <w:rPr>
          <w:b/>
          <w:bCs/>
        </w:rPr>
        <w:t xml:space="preserve"> </w:t>
      </w:r>
      <m:oMath>
        <m:r>
          <m:t>8.0</m:t>
        </m:r>
        <m:r>
          <m:rPr>
            <m:sty m:val="p"/>
          </m:rPr>
          <m:t>–</m:t>
        </m:r>
      </m:oMath>
      <w:r>
        <w:rPr>
          <w:b/>
          <w:bCs/>
        </w:rPr>
        <w:t xml:space="preserve">8.2 billion</w:t>
      </w:r>
      <w:r>
        <w:t xml:space="preserve"> </w:t>
      </w:r>
      <w:r>
        <w:t xml:space="preserve">(~20% growth), operating cash flow</w:t>
      </w:r>
      <w:r>
        <w:t xml:space="preserve"> </w:t>
      </w:r>
      <w:r>
        <w:rPr>
          <w:b/>
          <w:bCs/>
        </w:rPr>
        <w:t xml:space="preserve">over</w:t>
      </w:r>
      <w:r>
        <w:rPr>
          <w:b/>
          <w:bCs/>
        </w:rPr>
        <w:t xml:space="preserve"> </w:t>
      </w:r>
      <m:oMath>
        <m:r>
          <m:t>1</m:t>
        </m:r>
        <m:r>
          <m:t>b</m:t>
        </m:r>
        <m:r>
          <m:t>i</m:t>
        </m:r>
        <m:r>
          <m:t>l</m:t>
        </m:r>
        <m:r>
          <m:t>l</m:t>
        </m:r>
        <m:r>
          <m:t>i</m:t>
        </m:r>
        <m:r>
          <m:t>o</m:t>
        </m:r>
        <m:r>
          <m:t>n</m:t>
        </m:r>
        <m:r>
          <m:rPr>
            <m:sty m:val="p"/>
          </m:rPr>
          <m:t>*</m:t>
        </m:r>
        <m:r>
          <m:rPr>
            <m:sty m:val="p"/>
          </m:rPr>
          <m:t>*</m:t>
        </m:r>
        <m:r>
          <m:rPr>
            <m:sty m:val="p"/>
          </m:rPr>
          <m:t>,</m:t>
        </m:r>
        <m:r>
          <m:t>a</m:t>
        </m:r>
        <m:r>
          <m:t>n</m:t>
        </m:r>
        <m:r>
          <m:t>d</m:t>
        </m:r>
        <m:r>
          <m:t>a</m:t>
        </m:r>
        <m:r>
          <m:rPr>
            <m:sty m:val="p"/>
          </m:rPr>
          <m:t>*</m:t>
        </m:r>
        <m:r>
          <m:rPr>
            <m:sty m:val="p"/>
          </m:rPr>
          <m:t>*</m:t>
        </m:r>
        <m:r>
          <m:t>n</m:t>
        </m:r>
        <m:r>
          <m:t>e</m:t>
        </m:r>
        <m:r>
          <m:t>t</m:t>
        </m:r>
        <m:r>
          <m:t>c</m:t>
        </m:r>
        <m:r>
          <m:t>a</m:t>
        </m:r>
        <m:r>
          <m:t>s</m:t>
        </m:r>
        <m:r>
          <m:t>h</m:t>
        </m:r>
        <m:r>
          <m:t>p</m:t>
        </m:r>
        <m:r>
          <m:t>o</m:t>
        </m:r>
        <m:r>
          <m:t>s</m:t>
        </m:r>
        <m:r>
          <m:t>i</m:t>
        </m:r>
        <m:r>
          <m:t>t</m:t>
        </m:r>
        <m:r>
          <m:t>i</m:t>
        </m:r>
        <m:r>
          <m:t>o</m:t>
        </m:r>
        <m:r>
          <m:t>n</m:t>
        </m:r>
        <m:r>
          <m:t>b</m:t>
        </m:r>
        <m:r>
          <m:t>y</m:t>
        </m:r>
        <m:r>
          <m:t>f</m:t>
        </m:r>
        <m:r>
          <m:t>i</m:t>
        </m:r>
        <m:r>
          <m:t>s</m:t>
        </m:r>
        <m:r>
          <m:t>c</m:t>
        </m:r>
        <m:r>
          <m:t>a</m:t>
        </m:r>
        <m:r>
          <m:t>l</m:t>
        </m:r>
        <m:r>
          <m:t>y</m:t>
        </m:r>
        <m:r>
          <m:t>e</m:t>
        </m:r>
        <m:r>
          <m:t>a</m:t>
        </m:r>
        <m:r>
          <m:t>r</m:t>
        </m:r>
        <m:r>
          <m:rPr>
            <m:sty m:val="p"/>
          </m:rPr>
          <m:t>−</m:t>
        </m:r>
        <m:r>
          <m:t>e</m:t>
        </m:r>
        <m:r>
          <m:t>n</m:t>
        </m:r>
        <m:r>
          <m:t>d</m:t>
        </m:r>
        <m:r>
          <m:rPr>
            <m:sty m:val="p"/>
          </m:rPr>
          <m:t>*</m:t>
        </m:r>
        <m:r>
          <m:rPr>
            <m:sty m:val="p"/>
          </m:rPr>
          <m:t>*</m:t>
        </m:r>
        <m:r>
          <m:rPr>
            <m:sty m:val="p"/>
          </m:rPr>
          <m:t>—</m:t>
        </m:r>
        <m:r>
          <m:t>a</m:t>
        </m:r>
        <m:r>
          <m:t>g</m:t>
        </m:r>
        <m:r>
          <m:t>u</m:t>
        </m:r>
        <m:r>
          <m:t>i</m:t>
        </m:r>
        <m:r>
          <m:t>d</m:t>
        </m:r>
        <m:r>
          <m:t>e</m:t>
        </m:r>
        <m:r>
          <m:t>t</m:t>
        </m:r>
        <m:r>
          <m:t>h</m:t>
        </m:r>
        <m:r>
          <m:t>a</m:t>
        </m:r>
        <m:r>
          <m:t>t</m:t>
        </m:r>
        <m:r>
          <m:t>t</m:t>
        </m:r>
        <m:r>
          <m:t>h</m:t>
        </m:r>
        <m:r>
          <m:t>e</m:t>
        </m:r>
        <m:r>
          <m:t>S</m:t>
        </m:r>
        <m:r>
          <m:t>t</m:t>
        </m:r>
        <m:r>
          <m:t>r</m:t>
        </m:r>
        <m:r>
          <m:t>e</m:t>
        </m:r>
        <m:r>
          <m:t>e</m:t>
        </m:r>
        <m:r>
          <m:t>t</m:t>
        </m:r>
        <m:r>
          <m:t>b</m:t>
        </m:r>
        <m:r>
          <m:t>r</m:t>
        </m:r>
        <m:r>
          <m:t>o</m:t>
        </m:r>
        <m:r>
          <m:t>a</m:t>
        </m:r>
        <m:r>
          <m:t>d</m:t>
        </m:r>
        <m:r>
          <m:t>l</m:t>
        </m:r>
        <m:r>
          <m:t>y</m:t>
        </m:r>
        <m:r>
          <m:t>v</m:t>
        </m:r>
        <m:r>
          <m:t>i</m:t>
        </m:r>
        <m:r>
          <m:t>e</m:t>
        </m:r>
        <m:r>
          <m:t>w</m:t>
        </m:r>
        <m:r>
          <m:t>s</m:t>
        </m:r>
        <m:r>
          <m:t>a</m:t>
        </m:r>
        <m:r>
          <m:t>s</m:t>
        </m:r>
        <m:r>
          <m:t>c</m:t>
        </m:r>
        <m:r>
          <m:t>o</m:t>
        </m:r>
        <m:r>
          <m:t>n</m:t>
        </m:r>
        <m:r>
          <m:t>s</m:t>
        </m:r>
        <m:r>
          <m:t>e</m:t>
        </m:r>
        <m:r>
          <m:t>r</m:t>
        </m:r>
        <m:r>
          <m:t>v</m:t>
        </m:r>
        <m:r>
          <m:t>a</m:t>
        </m:r>
        <m:r>
          <m:t>t</m:t>
        </m:r>
        <m:r>
          <m:t>i</m:t>
        </m:r>
        <m:r>
          <m:t>v</m:t>
        </m:r>
        <m:r>
          <m:t>e</m:t>
        </m:r>
        <m:r>
          <m:rPr>
            <m:sty m:val="p"/>
          </m:rPr>
          <m:t>,</m:t>
        </m:r>
        <m:r>
          <m:t>s</m:t>
        </m:r>
        <m:r>
          <m:t>i</m:t>
        </m:r>
        <m:r>
          <m:t>n</m:t>
        </m:r>
        <m:r>
          <m:t>c</m:t>
        </m:r>
        <m:r>
          <m:t>e</m:t>
        </m:r>
        <m:r>
          <m:t>c</m:t>
        </m:r>
        <m:r>
          <m:t>o</m:t>
        </m:r>
        <m:r>
          <m:t>n</m:t>
        </m:r>
        <m:r>
          <m:t>s</m:t>
        </m:r>
        <m:r>
          <m:t>e</m:t>
        </m:r>
        <m:r>
          <m:t>n</m:t>
        </m:r>
        <m:r>
          <m:t>s</m:t>
        </m:r>
        <m:r>
          <m:t>u</m:t>
        </m:r>
        <m:r>
          <m:t>s</m:t>
        </m:r>
        <m:r>
          <m:t>m</m:t>
        </m:r>
        <m:r>
          <m:t>o</m:t>
        </m:r>
        <m:r>
          <m:t>d</m:t>
        </m:r>
        <m:r>
          <m:t>e</m:t>
        </m:r>
        <m:r>
          <m:t>l</m:t>
        </m:r>
        <m:r>
          <m:t>s</m:t>
        </m:r>
        <m:r>
          <m:t>s</m:t>
        </m:r>
        <m:r>
          <m:t>i</m:t>
        </m:r>
        <m:r>
          <m:t>t</m:t>
        </m:r>
        <m:r>
          <m:t>c</m:t>
        </m:r>
        <m:r>
          <m:t>l</m:t>
        </m:r>
        <m:r>
          <m:t>o</m:t>
        </m:r>
        <m:r>
          <m:t>s</m:t>
        </m:r>
        <m:r>
          <m:t>e</m:t>
        </m:r>
        <m:r>
          <m:t>r</m:t>
        </m:r>
        <m:r>
          <m:t>t</m:t>
        </m:r>
        <m:r>
          <m:t>o</m:t>
        </m:r>
        <m:r>
          <m:rPr>
            <m:sty m:val="p"/>
          </m:rPr>
          <m:t>*</m:t>
        </m:r>
        <m:r>
          <m:rPr>
            <m:sty m:val="p"/>
          </m:rPr>
          <m:t>*</m:t>
        </m:r>
      </m:oMath>
      <w:r>
        <w:rPr>
          <w:b/>
          <w:bCs/>
        </w:rPr>
        <w:t xml:space="preserve">8.6 billion</w:t>
      </w:r>
      <w:r>
        <w:t xml:space="preserve"> </w:t>
      </w:r>
      <w:r>
        <w:t xml:space="preserve">and some earlier analyst expectations were as high as $9.3 billion. Whether management reiterates, raises, or stays quiet on this framework is arguably the single biggest swing factor for the stock reaction.</w:t>
      </w:r>
    </w:p>
    <w:bookmarkEnd w:id="10"/>
    <w:bookmarkStart w:id="11" w:name="X9ceb1123bb20a6f159158c16bf0aea43dcf5223"/>
    <w:p>
      <w:pPr>
        <w:pStyle w:val="Heading2"/>
      </w:pPr>
      <w:r>
        <w:t xml:space="preserve">3. The GTA VI Storyline Is the Real Event</w:t>
      </w:r>
    </w:p>
    <w:p>
      <w:pPr>
        <w:pStyle w:val="FirstParagraph"/>
      </w:pPr>
      <w:r>
        <w:t xml:space="preserve">This has become the dominant lens through which every TTWO print is read:</w:t>
      </w:r>
    </w:p>
    <w:p>
      <w:pPr>
        <w:pStyle w:val="Compact"/>
        <w:numPr>
          <w:ilvl w:val="0"/>
          <w:numId w:val="1001"/>
        </w:numPr>
      </w:pPr>
      <w:r>
        <w:rPr>
          <w:b/>
          <w:bCs/>
        </w:rPr>
        <w:t xml:space="preserve">Price confirmed at $79.99</w:t>
      </w:r>
      <w:r>
        <w:t xml:space="preserve"> </w:t>
      </w:r>
      <w:r>
        <w:t xml:space="preserve">for the standard edition, with a more expensive "Ultimate Edition" also on offer, and</w:t>
      </w:r>
      <w:r>
        <w:t xml:space="preserve"> </w:t>
      </w:r>
      <w:r>
        <w:rPr>
          <w:b/>
          <w:bCs/>
        </w:rPr>
        <w:t xml:space="preserve">pre-orders have reportedly already surpassed $260 million</w:t>
      </w:r>
      <w:r>
        <w:t xml:space="preserve"> </w:t>
      </w:r>
      <w:r>
        <w:t xml:space="preserve">since opening in June.</w:t>
      </w:r>
    </w:p>
    <w:p>
      <w:pPr>
        <w:pStyle w:val="Compact"/>
        <w:numPr>
          <w:ilvl w:val="0"/>
          <w:numId w:val="1001"/>
        </w:numPr>
      </w:pPr>
      <w:r>
        <w:rPr>
          <w:b/>
          <w:bCs/>
        </w:rPr>
        <w:t xml:space="preserve">Marketing has been unusually quiet.</w:t>
      </w:r>
      <w:r>
        <w:t xml:space="preserve"> </w:t>
      </w:r>
      <w:r>
        <w:t xml:space="preserve">Despite CEO Strauss Zelnick's comments on the May call that Rockstar Games will start their marketing campaign this summer, as of early August there had still been no third trailer or full gameplay showcase — fueling fan and investor impatience even as leakers suggest an update is imminent.</w:t>
      </w:r>
    </w:p>
    <w:p>
      <w:pPr>
        <w:pStyle w:val="Compact"/>
        <w:numPr>
          <w:ilvl w:val="0"/>
          <w:numId w:val="1001"/>
        </w:numPr>
      </w:pPr>
      <w:r>
        <w:t xml:space="preserve">Management has consistently downplayed</w:t>
      </w:r>
      <w:r>
        <w:t xml:space="preserve"> </w:t>
      </w:r>
      <w:r>
        <w:rPr>
          <w:b/>
          <w:bCs/>
        </w:rPr>
        <w:t xml:space="preserve">cannibalization risk</w:t>
      </w:r>
      <w:r>
        <w:t xml:space="preserve"> </w:t>
      </w:r>
      <w:r>
        <w:t xml:space="preserve">between GTA VI and the still-thriving GTA Online/GTA V ecosystem, with Zelnick arguing on the May call that cannibalization doesn't really apply to the entertainment business and that a hit tends to "energize consumers" and expand overall spending rather than steal share from the back catalog.</w:t>
      </w:r>
    </w:p>
    <w:p>
      <w:pPr>
        <w:pStyle w:val="Compact"/>
        <w:numPr>
          <w:ilvl w:val="0"/>
          <w:numId w:val="1001"/>
        </w:numPr>
      </w:pPr>
      <w:r>
        <w:t xml:space="preserve">Zelnick has also reiterated conviction on timing, telling investors certainly, it will stay in market. And certainly, there are many, many consumers who love the title regarding GTA Online's durability post-launch, while stopping short of giving specifics on GTA VI's own online monetization model.</w:t>
      </w:r>
    </w:p>
    <w:p>
      <w:pPr>
        <w:pStyle w:val="FirstParagraph"/>
      </w:pPr>
      <w:r>
        <w:rPr>
          <w:b/>
          <w:bCs/>
        </w:rPr>
        <w:t xml:space="preserve">Watch for:</w:t>
      </w:r>
      <w:r>
        <w:t xml:space="preserve"> </w:t>
      </w:r>
      <w:r>
        <w:t xml:space="preserve">any commentary on trailer/marketing timing, updated pre-order commentary, confirmation of console-only vs. eventual PC/cross-platform plans (still console-only as of the last call), and any hint of how Rockstar's online business model for GTA VI might work.</w:t>
      </w:r>
    </w:p>
    <w:bookmarkEnd w:id="11"/>
    <w:bookmarkStart w:id="12" w:name="Xb391f63004d4d7bdc81de77bce5d3e2a5178c71"/>
    <w:p>
      <w:pPr>
        <w:pStyle w:val="Heading2"/>
      </w:pPr>
      <w:r>
        <w:t xml:space="preserve">4. Segment Trends to Track</w:t>
      </w:r>
    </w:p>
    <w:p>
      <w:pPr>
        <w:pStyle w:val="Compact"/>
        <w:numPr>
          <w:ilvl w:val="0"/>
          <w:numId w:val="1002"/>
        </w:numPr>
      </w:pPr>
      <w:r>
        <w:rPr>
          <w:b/>
          <w:bCs/>
        </w:rPr>
        <w:t xml:space="preserve">NBA 2K27</w:t>
      </w:r>
      <w:r>
        <w:t xml:space="preserve"> </w:t>
      </w:r>
      <w:r>
        <w:t xml:space="preserve">launches in</w:t>
      </w:r>
      <w:r>
        <w:t xml:space="preserve"> </w:t>
      </w:r>
      <w:r>
        <w:rPr>
          <w:b/>
          <w:bCs/>
        </w:rPr>
        <w:t xml:space="preserve">September 2026</w:t>
      </w:r>
      <w:r>
        <w:t xml:space="preserve"> </w:t>
      </w:r>
      <w:r>
        <w:t xml:space="preserve">(fiscal Q2), so Q1 commentary will focus on how the franchise is lapping a record FY26 (RCS grew over 30% last year) and the early read on the</w:t>
      </w:r>
      <w:r>
        <w:t xml:space="preserve"> </w:t>
      </w:r>
      <w:r>
        <w:rPr>
          <w:b/>
          <w:bCs/>
        </w:rPr>
        <w:t xml:space="preserve">college basketball content expansion</w:t>
      </w:r>
      <w:r>
        <w:t xml:space="preserve"> </w:t>
      </w:r>
      <w:r>
        <w:t xml:space="preserve">that debuted in Season 5.</w:t>
      </w:r>
    </w:p>
    <w:p>
      <w:pPr>
        <w:pStyle w:val="Compact"/>
        <w:numPr>
          <w:ilvl w:val="0"/>
          <w:numId w:val="1002"/>
        </w:numPr>
      </w:pPr>
      <w:r>
        <w:rPr>
          <w:b/>
          <w:bCs/>
        </w:rPr>
        <w:t xml:space="preserve">Mobile/Zynga</w:t>
      </w:r>
      <w:r>
        <w:t xml:space="preserve">: FY27 guidance already assumes mobile RCS declines this year due to last year's success of Color Block Jam and our assumption that trends will moderate for several of Zynga's mature mobile titles. Toon Blast, Match Factory!, Empires &amp; Puzzles, Color Block Jam and Words With Friends remain the key mobile bookings drivers to monitor for signs of over- or under-shooting that cautious guide.</w:t>
      </w:r>
    </w:p>
    <w:p>
      <w:pPr>
        <w:pStyle w:val="Compact"/>
        <w:numPr>
          <w:ilvl w:val="0"/>
          <w:numId w:val="1002"/>
        </w:numPr>
      </w:pPr>
      <w:r>
        <w:rPr>
          <w:b/>
          <w:bCs/>
        </w:rPr>
        <w:t xml:space="preserve">Rockstar catalog</w:t>
      </w:r>
      <w:r>
        <w:t xml:space="preserve">: GTA V has sold in nearly 230 million units and Red Dead Redemption 2 has sold in over 85 million units — continued strength here matters both in its own right and as a read on the durability of Rockstar's live-service ecosystem heading into GTA VI.</w:t>
      </w:r>
    </w:p>
    <w:p>
      <w:pPr>
        <w:pStyle w:val="Compact"/>
        <w:numPr>
          <w:ilvl w:val="0"/>
          <w:numId w:val="1002"/>
        </w:numPr>
      </w:pPr>
      <w:r>
        <w:rPr>
          <w:b/>
          <w:bCs/>
        </w:rPr>
        <w:t xml:space="preserve">WWE 2K26 / PGA TOUR 2K25</w:t>
      </w:r>
      <w:r>
        <w:t xml:space="preserve"> </w:t>
      </w:r>
      <w:r>
        <w:t xml:space="preserve">live-service momentum (both flagged as strong in Q4) should continue contributing to sports-label RCS.</w:t>
      </w:r>
    </w:p>
    <w:bookmarkEnd w:id="12"/>
    <w:bookmarkStart w:id="13" w:name="Xd7de0ee6ac54178ee53e38a726c7721df319db8"/>
    <w:p>
      <w:pPr>
        <w:pStyle w:val="Heading2"/>
      </w:pPr>
      <w:r>
        <w:t xml:space="preserve">5. Margins, Cash Flow and Capital Allocation</w:t>
      </w:r>
    </w:p>
    <w:p>
      <w:pPr>
        <w:pStyle w:val="FirstParagraph"/>
      </w:pPr>
      <w:r>
        <w:t xml:space="preserve">FY26 closed with the company swinging to positive operating cash flow of $624 million, and FY27 guidance calls for</w:t>
      </w:r>
      <w:r>
        <w:t xml:space="preserve"> </w:t>
      </w:r>
      <w:r>
        <w:rPr>
          <w:b/>
          <w:bCs/>
        </w:rPr>
        <w:t xml:space="preserve">operating cash flow in excess of $1 billion</w:t>
      </w:r>
      <w:r>
        <w:t xml:space="preserve"> </w:t>
      </w:r>
      <w:r>
        <w:t xml:space="preserve">and</w:t>
      </w:r>
      <w:r>
        <w:t xml:space="preserve"> </w:t>
      </w:r>
      <w:r>
        <w:rPr>
          <w:b/>
          <w:bCs/>
        </w:rPr>
        <w:t xml:space="preserve">net cash by year-end</w:t>
      </w:r>
      <w:r>
        <w:t xml:space="preserve"> </w:t>
      </w:r>
      <w:r>
        <w:t xml:space="preserve">— a notable balance-sheet inflection after years of leverage from the Zynga deal. Management's capital allocation framework remains unchanged: fund organic growth, pursue</w:t>
      </w:r>
      <w:r>
        <w:t xml:space="preserve"> </w:t>
      </w:r>
      <w:r>
        <w:rPr>
          <w:b/>
          <w:bCs/>
        </w:rPr>
        <w:t xml:space="preserve">accretive M&amp;A only opportunistically</w:t>
      </w:r>
      <w:r>
        <w:t xml:space="preserve"> </w:t>
      </w:r>
      <w:r>
        <w:t xml:space="preserve">(Zynga, Gearbox cited as prior examples), and return capital via</w:t>
      </w:r>
      <w:r>
        <w:t xml:space="preserve"> </w:t>
      </w:r>
      <w:r>
        <w:rPr>
          <w:b/>
          <w:bCs/>
        </w:rPr>
        <w:t xml:space="preserve">opportunistic buybacks</w:t>
      </w:r>
      <w:r>
        <w:t xml:space="preserve"> </w:t>
      </w:r>
      <w:r>
        <w:t xml:space="preserve">— Zelnick noted the company's most recent buyback was executed at $158/share, well below the current price, implying repurchase urgency may be muted near current levels. Investors should listen for any updated color on margin trajectory, since Goldstein has flagged</w:t>
      </w:r>
      <w:r>
        <w:t xml:space="preserve"> </w:t>
      </w:r>
      <w:r>
        <w:rPr>
          <w:b/>
          <w:bCs/>
        </w:rPr>
        <w:t xml:space="preserve">operating expense leverage as the largest margin opportunity</w:t>
      </w:r>
      <w:r>
        <w:t xml:space="preserve"> </w:t>
      </w:r>
      <w:r>
        <w:t xml:space="preserve">as the business scales post-GTA VI launch.</w:t>
      </w:r>
    </w:p>
    <w:bookmarkEnd w:id="13"/>
    <w:bookmarkStart w:id="14" w:name="X7c034cb224d5baf6dbf30d849c4cb49aa823c3c"/>
    <w:p>
      <w:pPr>
        <w:pStyle w:val="Heading2"/>
      </w:pPr>
      <w:r>
        <w:t xml:space="preserve">6. Key Risks / Debate Points</w:t>
      </w:r>
    </w:p>
    <w:p>
      <w:pPr>
        <w:pStyle w:val="Compact"/>
        <w:numPr>
          <w:ilvl w:val="0"/>
          <w:numId w:val="1003"/>
        </w:numPr>
      </w:pPr>
      <w:r>
        <w:rPr>
          <w:b/>
          <w:bCs/>
        </w:rPr>
        <w:t xml:space="preserve">Marketing cadence risk</w:t>
      </w:r>
      <w:r>
        <w:t xml:space="preserve">: continued silence on GTA VI marketing so close to the November date could reignite delay fears, even though management has been firm that the date is locked.</w:t>
      </w:r>
    </w:p>
    <w:p>
      <w:pPr>
        <w:pStyle w:val="Compact"/>
        <w:numPr>
          <w:ilvl w:val="0"/>
          <w:numId w:val="1003"/>
        </w:numPr>
      </w:pPr>
      <w:r>
        <w:rPr>
          <w:b/>
          <w:bCs/>
        </w:rPr>
        <w:t xml:space="preserve">Guidance credibility</w:t>
      </w:r>
      <w:r>
        <w:t xml:space="preserve">: FY27 bookings guidance (</w:t>
      </w:r>
      <m:oMath>
        <m:r>
          <m:t>8.0</m:t>
        </m:r>
        <m:r>
          <m:rPr>
            <m:sty m:val="p"/>
          </m:rPr>
          <m:t>–</m:t>
        </m:r>
      </m:oMath>
      <w:r>
        <w:t xml:space="preserve">8.2B) sits well below some Street models (~$8.6–9.3B); a cautious tone on Q1 could either validate management's conservatism or raise concern that even the low bar is tight.</w:t>
      </w:r>
    </w:p>
    <w:p>
      <w:pPr>
        <w:pStyle w:val="Compact"/>
        <w:numPr>
          <w:ilvl w:val="0"/>
          <w:numId w:val="1003"/>
        </w:numPr>
      </w:pPr>
      <w:r>
        <w:rPr>
          <w:b/>
          <w:bCs/>
        </w:rPr>
        <w:t xml:space="preserve">Mobile deceleration</w:t>
      </w:r>
      <w:r>
        <w:t xml:space="preserve">: Zynga's mature titles are guided down, and macro-sensitive user-acquisition costs remain a swing factor for margins.</w:t>
      </w:r>
    </w:p>
    <w:p>
      <w:pPr>
        <w:pStyle w:val="Compact"/>
        <w:numPr>
          <w:ilvl w:val="0"/>
          <w:numId w:val="1003"/>
        </w:numPr>
      </w:pPr>
      <w:r>
        <w:rPr>
          <w:b/>
          <w:bCs/>
        </w:rPr>
        <w:t xml:space="preserve">Post-GTA VI sustainability</w:t>
      </w:r>
      <w:r>
        <w:t xml:space="preserve">: the bigger long-term debate — whether Take-Two can "sustain this higher level of scale" once the initial GTA VI unit-sales wave normalizes — will likely resurface in Q&amp;A given this was a major analyst focus on the last call.</w:t>
      </w:r>
    </w:p>
    <w:p>
      <w:pPr>
        <w:pStyle w:val="Compact"/>
        <w:numPr>
          <w:ilvl w:val="0"/>
          <w:numId w:val="1003"/>
        </w:numPr>
      </w:pPr>
      <w:r>
        <w:rPr>
          <w:b/>
          <w:bCs/>
        </w:rPr>
        <w:t xml:space="preserve">Valuation</w:t>
      </w:r>
      <w:r>
        <w:t xml:space="preserve">: sell-side fair value estimates are notably dispersed — from average price targets trimmed to around $219 after the May print, up to bullish DCF-based marks near $344 — underscoring how much of the equity story now hinges on GTA VI assumptions rather than current-period fundamentals.</w:t>
      </w:r>
    </w:p>
    <w:bookmarkEnd w:id="14"/>
    <w:bookmarkStart w:id="15" w:name="X7a3bbf556adfc11a6000f5b234b318bdc6ae48e"/>
    <w:p>
      <w:pPr>
        <w:pStyle w:val="Heading2"/>
      </w:pPr>
      <w:r>
        <w:t xml:space="preserve">7. Bottom Line</w:t>
      </w:r>
    </w:p>
    <w:p>
      <w:pPr>
        <w:pStyle w:val="FirstParagraph"/>
      </w:pPr>
      <w:r>
        <w:t xml:space="preserve">The Q1 numbers themselves (a seasonally soft, GAAP-loss quarter with bookings guided down year-over-year) are largely a non-event. What matters is</w:t>
      </w:r>
      <w:r>
        <w:t xml:space="preserve"> </w:t>
      </w:r>
      <w:r>
        <w:rPr>
          <w:b/>
          <w:bCs/>
        </w:rPr>
        <w:t xml:space="preserve">incremental information on GTA VI's marketing rollout, pre-order trends, and any tweak to FY2027 guidance</w:t>
      </w:r>
      <w:r>
        <w:t xml:space="preserve">, plus proof points that the rest of the portfolio (NBA 2K, mobile, WWE 2K, sports titles) is tracking toward the high end of the initial outlook. Given management's conservative FY27 framework and the stock's re-rating already priced around the November launch, the report is more likely to be a</w:t>
      </w:r>
      <w:r>
        <w:t xml:space="preserve"> </w:t>
      </w:r>
      <w:r>
        <w:rPr>
          <w:b/>
          <w:bCs/>
        </w:rPr>
        <w:t xml:space="preserve">sentiment and confidence check</w:t>
      </w:r>
      <w:r>
        <w:t xml:space="preserve"> </w:t>
      </w:r>
      <w:r>
        <w:t xml:space="preserve">than a fundamental catalyst — with GTA VI marketing news (or continued silence) probably mattering more to the stock than the Q1 print itself.</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2026-08-07T00:06:04Z</dcterms:created>
  <dcterms:modified xsi:type="dcterms:W3CDTF">2026-08-07T00:06:04Z</dcterms:modified>
</cp:coreProperties>
</file>

<file path=docProps/custom.xml><?xml version="1.0" encoding="utf-8"?>
<Properties xmlns="http://schemas.openxmlformats.org/officeDocument/2006/custom-properties" xmlns:vt="http://schemas.openxmlformats.org/officeDocument/2006/docPropsVTypes"/>
</file>