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11ab91a4a20ce650499e73edd3df26eb521cc"/>
    <w:p>
      <w:pPr>
        <w:pStyle w:val="Heading1"/>
      </w:pPr>
      <w:r>
        <w:t xml:space="preserve">Take-Two Interactive (TTWO) Fiscal 1Q27 Earnings Preview</w:t>
      </w:r>
    </w:p>
    <w:p>
      <w:pPr>
        <w:pStyle w:val="FirstParagraph"/>
      </w:pPr>
      <w:r>
        <w:rPr>
          <w:b/>
          <w:bCs/>
        </w:rPr>
        <w:t xml:space="preserve">Report:</w:t>
      </w:r>
      <w:r>
        <w:t xml:space="preserve"> </w:t>
      </w:r>
      <w:r>
        <w:t xml:space="preserve">Friday, August 7, 2026, before the market opens</w:t>
      </w:r>
      <w:r>
        <w:br/>
      </w:r>
      <w:r>
        <w:rPr>
          <w:b/>
          <w:bCs/>
        </w:rPr>
        <w:t xml:space="preserve">Conference call:</w:t>
      </w:r>
      <w:r>
        <w:t xml:space="preserve"> </w:t>
      </w:r>
      <w:r>
        <w:t xml:space="preserve">8:00 a.m. ET</w:t>
      </w:r>
      <w:r>
        <w:br/>
      </w:r>
      <w:r>
        <w:rPr>
          <w:b/>
          <w:bCs/>
        </w:rPr>
        <w:t xml:space="preserve">Reporting period:</w:t>
      </w:r>
      <w:r>
        <w:t xml:space="preserve"> </w:t>
      </w:r>
      <w:r>
        <w:t xml:space="preserve">Quarter ended June 30, 2026</w:t>
      </w:r>
    </w:p>
    <w:bookmarkStart w:id="10" w:name="investment-view-going-into-the-report"/>
    <w:p>
      <w:pPr>
        <w:pStyle w:val="Heading2"/>
      </w:pPr>
      <w:r>
        <w:t xml:space="preserve">Investment view going into the report</w:t>
      </w:r>
    </w:p>
    <w:p>
      <w:pPr>
        <w:pStyle w:val="FirstParagraph"/>
      </w:pPr>
      <w:r>
        <w:t xml:space="preserve">This quarter’s results are unlikely to determine the TTWO thesis. The stock will trade primarily on three questions:</w:t>
      </w:r>
    </w:p>
    <w:p>
      <w:pPr>
        <w:pStyle w:val="Compact"/>
        <w:numPr>
          <w:ilvl w:val="0"/>
          <w:numId w:val="1001"/>
        </w:numPr>
      </w:pPr>
      <w:r>
        <w:rPr>
          <w:b/>
          <w:bCs/>
        </w:rPr>
        <w:t xml:space="preserve">Is</w:t>
      </w:r>
      <w:r>
        <w:rPr>
          <w:b/>
          <w:bCs/>
        </w:rPr>
        <w:t xml:space="preserve"> </w:t>
      </w:r>
      <w:r>
        <w:rPr>
          <w:b/>
          <w:bCs/>
          <w:i/>
          <w:iCs/>
        </w:rPr>
        <w:t xml:space="preserve">Grand Theft Auto VI</w:t>
      </w:r>
      <w:r>
        <w:rPr>
          <w:b/>
          <w:bCs/>
        </w:rPr>
        <w:t xml:space="preserve"> </w:t>
      </w:r>
      <w:r>
        <w:rPr>
          <w:b/>
          <w:bCs/>
        </w:rPr>
        <w:t xml:space="preserve">still firmly scheduled for November 19, 2026?</w:t>
      </w:r>
    </w:p>
    <w:p>
      <w:pPr>
        <w:pStyle w:val="Compact"/>
        <w:numPr>
          <w:ilvl w:val="0"/>
          <w:numId w:val="1001"/>
        </w:numPr>
      </w:pPr>
      <w:r>
        <w:rPr>
          <w:b/>
          <w:bCs/>
        </w:rPr>
        <w:t xml:space="preserve">How are preorders and early marketing indicators tracking?</w:t>
      </w:r>
    </w:p>
    <w:p>
      <w:pPr>
        <w:pStyle w:val="Compact"/>
        <w:numPr>
          <w:ilvl w:val="0"/>
          <w:numId w:val="1001"/>
        </w:numPr>
      </w:pPr>
      <w:r>
        <w:rPr>
          <w:b/>
          <w:bCs/>
        </w:rPr>
        <w:t xml:space="preserve">Will management raise its</w:t>
      </w:r>
      <w:r>
        <w:rPr>
          <w:b/>
          <w:bCs/>
        </w:rPr>
        <w:t xml:space="preserve"> </w:t>
      </w:r>
      <m:oMath>
        <m:r>
          <m:t>8.0</m:t>
        </m:r>
        <m:r>
          <m:rPr>
            <m:sty m:val="p"/>
          </m:rPr>
          <m:t>–</m:t>
        </m:r>
      </m:oMath>
      <w:r>
        <w:rPr>
          <w:b/>
          <w:bCs/>
        </w:rPr>
        <w:t xml:space="preserve">8.2 billion fiscal 2027 net-bookings outlook—or at least provide enough confidence to support expectations above that range?</w:t>
      </w:r>
    </w:p>
    <w:p>
      <w:pPr>
        <w:pStyle w:val="FirstParagraph"/>
      </w:pPr>
      <w:r>
        <w:t xml:space="preserve">The setup is favorable but demanding. TTWO enters the report with strong momentum across NBA 2K, legacy Rockstar titles, and several mobile games. Meanwhile,</w:t>
      </w:r>
      <w:r>
        <w:t xml:space="preserve"> </w:t>
      </w:r>
      <w:r>
        <w:rPr>
          <w:i/>
          <w:iCs/>
        </w:rPr>
        <w:t xml:space="preserve">GTA VI</w:t>
      </w:r>
      <w:r>
        <w:t xml:space="preserve"> </w:t>
      </w:r>
      <w:r>
        <w:t xml:space="preserve">preorders began June 25 at a base price of $79.99, giving management its first opportunity to discuss actual commercial signals rather than anticipation alone. Rockstar continues to list November 19 as the release date, with preloading beginning November 12. (</w:t>
      </w:r>
      <w:hyperlink r:id="rId9">
        <w:r>
          <w:rPr>
            <w:rStyle w:val="Hyperlink"/>
          </w:rPr>
          <w:t xml:space="preserve">ir.take2games.com</w:t>
        </w:r>
      </w:hyperlink>
      <w:r>
        <w:t xml:space="preserve">)</w:t>
      </w:r>
    </w:p>
    <w:p>
      <w:pPr>
        <w:pStyle w:val="BodyText"/>
      </w:pPr>
      <w:r>
        <w:t xml:space="preserve">The central risk is that investor expectations have moved ahead of official guidance. A recent market-news digest put fiscal 2027 consensus net bookings near</w:t>
      </w:r>
      <w:r>
        <w:t xml:space="preserve"> </w:t>
      </w:r>
      <w:r>
        <w:rPr>
          <w:b/>
          <w:bCs/>
        </w:rPr>
        <w:t xml:space="preserve">$8.6 billion</w:t>
      </w:r>
      <w:r>
        <w:t xml:space="preserve">, roughly 5% above the top of management’s range. Consequently, a routine quarterly beat and unchanged annual outlook might not be enough for the stock.</w:t>
      </w:r>
    </w:p>
    <w:p>
      <w:r>
        <w:pict>
          <v:rect style="width:0;height:1.5pt" o:hralign="center" o:hrstd="t" o:hr="t"/>
        </w:pict>
      </w:r>
    </w:p>
    <w:bookmarkEnd w:id="10"/>
    <w:bookmarkStart w:id="13" w:name="the-numbers-to-know"/>
    <w:p>
      <w:pPr>
        <w:pStyle w:val="Heading2"/>
      </w:pPr>
      <w:r>
        <w:t xml:space="preserve">The numbers to know</w:t>
      </w:r>
    </w:p>
    <w:bookmarkStart w:id="11" w:name="fiscal-1q27-guidance"/>
    <w:p>
      <w:pPr>
        <w:pStyle w:val="Heading3"/>
      </w:pPr>
      <w:r>
        <w:t xml:space="preserve">Fiscal 1Q27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Company guidance</w:t>
            </w:r>
          </w:p>
        </w:tc>
        <w:tc>
          <w:tcPr/>
          <w:p>
            <w:pPr>
              <w:pStyle w:val="Compact"/>
              <w:jc w:val="right"/>
            </w:pPr>
            <w:r>
              <w:t xml:space="preserve">Prior-year result</w:t>
            </w:r>
          </w:p>
        </w:tc>
        <w:tc>
          <w:tcPr/>
          <w:p>
            <w:pPr>
              <w:pStyle w:val="Compact"/>
              <w:jc w:val="right"/>
            </w:pPr>
            <w:r>
              <w:t xml:space="preserve">Midpoint change</w:t>
            </w:r>
          </w:p>
        </w:tc>
      </w:tr>
      <w:tr>
        <w:tc>
          <w:tcPr/>
          <w:p>
            <w:pPr>
              <w:pStyle w:val="Compact"/>
            </w:pPr>
            <w:r>
              <w:t xml:space="preserve">Net bookings</w:t>
            </w:r>
          </w:p>
        </w:tc>
        <w:tc>
          <w:tcPr/>
          <w:p>
            <w:pPr>
              <w:pStyle w:val="Compact"/>
              <w:jc w:val="right"/>
            </w:pPr>
            <m:oMath>
              <m:r>
                <m:t>1.32</m:t>
              </m:r>
              <m:r>
                <m:rPr>
                  <m:sty m:val="p"/>
                </m:rPr>
                <m:t>–</m:t>
              </m:r>
            </m:oMath>
            <w:r>
              <w:t xml:space="preserve">1.37B</w:t>
            </w:r>
          </w:p>
        </w:tc>
        <w:tc>
          <w:tcPr/>
          <w:p>
            <w:pPr>
              <w:pStyle w:val="Compact"/>
              <w:jc w:val="right"/>
            </w:pPr>
            <w:r>
              <w:t xml:space="preserve">$1.423B</w:t>
            </w:r>
          </w:p>
        </w:tc>
        <w:tc>
          <w:tcPr/>
          <w:p>
            <w:pPr>
              <w:pStyle w:val="Compact"/>
              <w:jc w:val="right"/>
            </w:pPr>
            <w:r>
              <w:t xml:space="preserve">Approximately</w:t>
            </w:r>
            <w:r>
              <w:t xml:space="preserve"> </w:t>
            </w:r>
            <w:r>
              <w:rPr>
                <w:b/>
                <w:bCs/>
              </w:rPr>
              <w:t xml:space="preserve">-5.5%</w:t>
            </w:r>
          </w:p>
        </w:tc>
      </w:tr>
      <w:tr>
        <w:tc>
          <w:tcPr/>
          <w:p>
            <w:pPr>
              <w:pStyle w:val="Compact"/>
            </w:pPr>
            <w:r>
              <w:t xml:space="preserve">GAAP net revenue</w:t>
            </w:r>
          </w:p>
        </w:tc>
        <w:tc>
          <w:tcPr/>
          <w:p>
            <w:pPr>
              <w:pStyle w:val="Compact"/>
              <w:jc w:val="right"/>
            </w:pPr>
            <m:oMath>
              <m:r>
                <m:t>1.45</m:t>
              </m:r>
              <m:r>
                <m:rPr>
                  <m:sty m:val="p"/>
                </m:rPr>
                <m:t>–</m:t>
              </m:r>
            </m:oMath>
            <w:r>
              <w:t xml:space="preserve">1.50B</w:t>
            </w:r>
          </w:p>
        </w:tc>
        <w:tc>
          <w:tcPr/>
          <w:p>
            <w:pPr>
              <w:pStyle w:val="Compact"/>
              <w:jc w:val="right"/>
            </w:pPr>
            <w:r>
              <w:t xml:space="preserve">$1.504B</w:t>
            </w:r>
          </w:p>
        </w:tc>
        <w:tc>
          <w:tcPr/>
          <w:p>
            <w:pPr>
              <w:pStyle w:val="Compact"/>
              <w:jc w:val="right"/>
            </w:pPr>
            <w:r>
              <w:t xml:space="preserve">Approximately</w:t>
            </w:r>
            <w:r>
              <w:t xml:space="preserve"> </w:t>
            </w:r>
            <w:r>
              <w:rPr>
                <w:b/>
                <w:bCs/>
              </w:rPr>
              <w:t xml:space="preserve">-2%</w:t>
            </w:r>
          </w:p>
        </w:tc>
      </w:tr>
      <w:tr>
        <w:tc>
          <w:tcPr/>
          <w:p>
            <w:pPr>
              <w:pStyle w:val="Compact"/>
            </w:pPr>
            <w:r>
              <w:t xml:space="preserve">Recurrent consumer spending</w:t>
            </w:r>
          </w:p>
        </w:tc>
        <w:tc>
          <w:tcPr/>
          <w:p>
            <w:pPr>
              <w:pStyle w:val="Compact"/>
              <w:jc w:val="right"/>
            </w:pPr>
            <w:r>
              <w:t xml:space="preserve">Approximately -3%</w:t>
            </w:r>
          </w:p>
        </w:tc>
        <w:tc>
          <w:tcPr/>
          <w:p>
            <w:pPr>
              <w:pStyle w:val="Compact"/>
              <w:jc w:val="right"/>
            </w:pPr>
            <w:r>
              <w:t xml:space="preserve">+17%</w:t>
            </w:r>
          </w:p>
        </w:tc>
        <w:tc>
          <w:tcPr/>
          <w:p>
            <w:pPr>
              <w:pStyle w:val="Compact"/>
              <w:jc w:val="right"/>
            </w:pPr>
            <w:r>
              <w:t xml:space="preserve">Material deceleration</w:t>
            </w:r>
          </w:p>
        </w:tc>
      </w:tr>
      <w:tr>
        <w:tc>
          <w:tcPr/>
          <w:p>
            <w:pPr>
              <w:pStyle w:val="Compact"/>
            </w:pPr>
            <w:r>
              <w:t xml:space="preserve">GAAP net income/(loss)</w:t>
            </w:r>
          </w:p>
        </w:tc>
        <w:tc>
          <w:tcPr/>
          <w:p>
            <w:pPr>
              <w:pStyle w:val="Compact"/>
              <w:jc w:val="right"/>
            </w:pPr>
            <m:oMath>
              <m:r>
                <m:rPr>
                  <m:sty m:val="p"/>
                </m:rPr>
                <m:t>(</m:t>
              </m:r>
              <m:r>
                <m:t>42</m:t>
              </m:r>
              <m:r>
                <m:rPr>
                  <m:sty m:val="p"/>
                </m:rPr>
                <m:t>)</m:t>
              </m:r>
              <m:r>
                <m:t>M</m:t>
              </m:r>
              <m:r>
                <m:rPr>
                  <m:sty m:val="p"/>
                </m:rPr>
                <m:t>–</m:t>
              </m:r>
            </m:oMath>
            <w:r>
              <w:t xml:space="preserve">(27)M</w:t>
            </w:r>
          </w:p>
        </w:tc>
        <w:tc>
          <w:tcPr/>
          <w:p>
            <w:pPr>
              <w:pStyle w:val="Compact"/>
              <w:jc w:val="right"/>
            </w:pPr>
            <w:r>
              <w:t xml:space="preserve">$(12)M</w:t>
            </w:r>
          </w:p>
        </w:tc>
        <w:tc>
          <w:tcPr/>
          <w:p>
            <w:pPr>
              <w:pStyle w:val="Compact"/>
              <w:jc w:val="right"/>
            </w:pPr>
            <w:r>
              <w:t xml:space="preserve">Lower</w:t>
            </w:r>
          </w:p>
        </w:tc>
      </w:tr>
      <w:tr>
        <w:tc>
          <w:tcPr/>
          <w:p>
            <w:pPr>
              <w:pStyle w:val="Compact"/>
            </w:pPr>
            <w:r>
              <w:t xml:space="preserve">EBITDA</w:t>
            </w:r>
          </w:p>
        </w:tc>
        <w:tc>
          <w:tcPr/>
          <w:p>
            <w:pPr>
              <w:pStyle w:val="Compact"/>
              <w:jc w:val="right"/>
            </w:pPr>
            <m:oMath>
              <m:r>
                <m:t>155</m:t>
              </m:r>
              <m:r>
                <m:rPr>
                  <m:sty m:val="p"/>
                </m:rPr>
                <m:t>–</m:t>
              </m:r>
            </m:oMath>
            <w:r>
              <w:t xml:space="preserve">179M</w:t>
            </w:r>
          </w:p>
        </w:tc>
        <w:tc>
          <w:tcPr/>
          <w:p>
            <w:pPr>
              <w:pStyle w:val="Compact"/>
              <w:jc w:val="right"/>
            </w:pPr>
            <w:r>
              <w:t xml:space="preserve">$226M</w:t>
            </w:r>
          </w:p>
        </w:tc>
        <w:tc>
          <w:tcPr/>
          <w:p>
            <w:pPr>
              <w:pStyle w:val="Compact"/>
              <w:jc w:val="right"/>
            </w:pPr>
            <w:r>
              <w:t xml:space="preserve">Approximately</w:t>
            </w:r>
            <w:r>
              <w:t xml:space="preserve"> </w:t>
            </w:r>
            <w:r>
              <w:rPr>
                <w:b/>
                <w:bCs/>
              </w:rPr>
              <w:t xml:space="preserve">-26%</w:t>
            </w:r>
            <w:r>
              <w:t xml:space="preserve"> </w:t>
            </w:r>
            <w:r>
              <w:t xml:space="preserve">at midpoint</w:t>
            </w:r>
          </w:p>
        </w:tc>
      </w:tr>
    </w:tbl>
    <w:p>
      <w:pPr>
        <w:pStyle w:val="BodyText"/>
      </w:pPr>
      <w:r>
        <w:t xml:space="preserve">The bar set by management is not especially high. Fiscal 2026’s first quarter benefited from strong NBA 2K and mobile growth, while the current quarter was expected to face tougher comparisons in Zynga and GTA Online.</w:t>
      </w:r>
    </w:p>
    <w:p>
      <w:pPr>
        <w:pStyle w:val="BodyText"/>
      </w:pPr>
      <w:r>
        <w:t xml:space="preserve">A bookings result above</w:t>
      </w:r>
      <w:r>
        <w:t xml:space="preserve"> </w:t>
      </w:r>
      <w:r>
        <w:rPr>
          <w:b/>
          <w:bCs/>
        </w:rPr>
        <w:t xml:space="preserve">$1.37 billion</w:t>
      </w:r>
      <w:r>
        <w:t xml:space="preserve">, especially with recurrent spending better than the guided 3% decline, would be a clean operating beat. But the market is likely to look through modest quarterly upside unless it translates into higher annual guidance.</w:t>
      </w:r>
    </w:p>
    <w:bookmarkEnd w:id="11"/>
    <w:bookmarkStart w:id="12" w:name="fiscal-2027-guidance"/>
    <w:p>
      <w:pPr>
        <w:pStyle w:val="Heading3"/>
      </w:pPr>
      <w:r>
        <w:t xml:space="preserve">Fiscal 2027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outlook</w:t>
            </w:r>
          </w:p>
        </w:tc>
      </w:tr>
      <w:tr>
        <w:tc>
          <w:tcPr/>
          <w:p>
            <w:pPr>
              <w:pStyle w:val="Compact"/>
            </w:pPr>
            <w:r>
              <w:t xml:space="preserve">Net bookings</w:t>
            </w:r>
          </w:p>
        </w:tc>
        <w:tc>
          <w:tcPr/>
          <w:p>
            <w:pPr>
              <w:pStyle w:val="Compact"/>
              <w:jc w:val="right"/>
            </w:pPr>
            <m:oMath>
              <m:r>
                <m:t>8.0</m:t>
              </m:r>
              <m:r>
                <m:rPr>
                  <m:sty m:val="p"/>
                </m:rPr>
                <m:t>–</m:t>
              </m:r>
            </m:oMath>
            <w:r>
              <w:t xml:space="preserve">8.2B</w:t>
            </w:r>
          </w:p>
        </w:tc>
      </w:tr>
      <w:tr>
        <w:tc>
          <w:tcPr/>
          <w:p>
            <w:pPr>
              <w:pStyle w:val="Compact"/>
            </w:pPr>
            <w:r>
              <w:t xml:space="preserve">Net-bookings growth</w:t>
            </w:r>
          </w:p>
        </w:tc>
        <w:tc>
          <w:tcPr/>
          <w:p>
            <w:pPr>
              <w:pStyle w:val="Compact"/>
              <w:jc w:val="right"/>
            </w:pPr>
            <w:r>
              <w:t xml:space="preserve">Approximately 19%–22%</w:t>
            </w:r>
          </w:p>
        </w:tc>
      </w:tr>
      <w:tr>
        <w:tc>
          <w:tcPr/>
          <w:p>
            <w:pPr>
              <w:pStyle w:val="Compact"/>
            </w:pPr>
            <w:r>
              <w:t xml:space="preserve">Recurrent consumer spending</w:t>
            </w:r>
          </w:p>
        </w:tc>
        <w:tc>
          <w:tcPr/>
          <w:p>
            <w:pPr>
              <w:pStyle w:val="Compact"/>
              <w:jc w:val="right"/>
            </w:pPr>
            <w:r>
              <w:t xml:space="preserve">Flat; approximately 65% of bookings</w:t>
            </w:r>
          </w:p>
        </w:tc>
      </w:tr>
      <w:tr>
        <w:tc>
          <w:tcPr/>
          <w:p>
            <w:pPr>
              <w:pStyle w:val="Compact"/>
            </w:pPr>
            <w:r>
              <w:t xml:space="preserve">GAAP net revenue</w:t>
            </w:r>
          </w:p>
        </w:tc>
        <w:tc>
          <w:tcPr/>
          <w:p>
            <w:pPr>
              <w:pStyle w:val="Compact"/>
              <w:jc w:val="right"/>
            </w:pPr>
            <m:oMath>
              <m:r>
                <m:t>7.9</m:t>
              </m:r>
              <m:r>
                <m:rPr>
                  <m:sty m:val="p"/>
                </m:rPr>
                <m:t>–</m:t>
              </m:r>
            </m:oMath>
            <w:r>
              <w:t xml:space="preserve">8.1B</w:t>
            </w:r>
          </w:p>
        </w:tc>
      </w:tr>
      <w:tr>
        <w:tc>
          <w:tcPr/>
          <w:p>
            <w:pPr>
              <w:pStyle w:val="Compact"/>
            </w:pPr>
            <w:r>
              <w:t xml:space="preserve">EBITDA</w:t>
            </w:r>
          </w:p>
        </w:tc>
        <w:tc>
          <w:tcPr/>
          <w:p>
            <w:pPr>
              <w:pStyle w:val="Compact"/>
              <w:jc w:val="right"/>
            </w:pPr>
            <m:oMath>
              <m:r>
                <m:t>1.013</m:t>
              </m:r>
              <m:r>
                <m:rPr>
                  <m:sty m:val="p"/>
                </m:rPr>
                <m:t>–</m:t>
              </m:r>
            </m:oMath>
            <w:r>
              <w:t xml:space="preserve">1.070B</w:t>
            </w:r>
          </w:p>
        </w:tc>
      </w:tr>
      <w:tr>
        <w:tc>
          <w:tcPr/>
          <w:p>
            <w:pPr>
              <w:pStyle w:val="Compact"/>
            </w:pPr>
            <w:r>
              <w:t xml:space="preserve">Operating cash flow</w:t>
            </w:r>
          </w:p>
        </w:tc>
        <w:tc>
          <w:tcPr/>
          <w:p>
            <w:pPr>
              <w:pStyle w:val="Compact"/>
              <w:jc w:val="right"/>
            </w:pPr>
            <w:r>
              <w:t xml:space="preserve">More than $1.0B</w:t>
            </w:r>
          </w:p>
        </w:tc>
      </w:tr>
      <w:tr>
        <w:tc>
          <w:tcPr/>
          <w:p>
            <w:pPr>
              <w:pStyle w:val="Compact"/>
            </w:pPr>
            <w:r>
              <w:t xml:space="preserve">Capital expenditures</w:t>
            </w:r>
          </w:p>
        </w:tc>
        <w:tc>
          <w:tcPr/>
          <w:p>
            <w:pPr>
              <w:pStyle w:val="Compact"/>
              <w:jc w:val="right"/>
            </w:pPr>
            <w:r>
              <w:t xml:space="preserve">Approximately $200M</w:t>
            </w:r>
          </w:p>
        </w:tc>
      </w:tr>
      <w:tr>
        <w:tc>
          <w:tcPr/>
          <w:p>
            <w:pPr>
              <w:pStyle w:val="Compact"/>
            </w:pPr>
            <w:r>
              <w:t xml:space="preserve">Year-end balance sheet</w:t>
            </w:r>
          </w:p>
        </w:tc>
        <w:tc>
          <w:tcPr/>
          <w:p>
            <w:pPr>
              <w:pStyle w:val="Compact"/>
              <w:jc w:val="right"/>
            </w:pPr>
            <w:r>
              <w:t xml:space="preserve">Net cash position expected</w:t>
            </w:r>
          </w:p>
        </w:tc>
      </w:tr>
    </w:tbl>
    <w:p>
      <w:pPr>
        <w:pStyle w:val="BodyText"/>
      </w:pPr>
      <w:r>
        <w:t xml:space="preserve">At the $8.1 billion midpoint, management expects label mix of approximately</w:t>
      </w:r>
      <w:r>
        <w:t xml:space="preserve"> </w:t>
      </w:r>
      <w:r>
        <w:rPr>
          <w:b/>
          <w:bCs/>
        </w:rPr>
        <w:t xml:space="preserve">36% Rockstar, 35% Zynga, and 29% 2K</w:t>
      </w:r>
      <w:r>
        <w:t xml:space="preserve">. The drop in recurrent spending’s share from 78% of fiscal 2026 bookings to 65% reflects the expected surge in premium full-game sales from</w:t>
      </w:r>
      <w:r>
        <w:t xml:space="preserve"> </w:t>
      </w:r>
      <w:r>
        <w:rPr>
          <w:i/>
          <w:iCs/>
        </w:rPr>
        <w:t xml:space="preserve">GTA VI</w:t>
      </w:r>
      <w:r>
        <w:t xml:space="preserve">.</w:t>
      </w:r>
    </w:p>
    <w:p>
      <w:r>
        <w:pict>
          <v:rect style="width:0;height:1.5pt" o:hralign="center" o:hrstd="t" o:hr="t"/>
        </w:pict>
      </w:r>
    </w:p>
    <w:bookmarkEnd w:id="12"/>
    <w:bookmarkEnd w:id="13"/>
    <w:bookmarkStart w:id="20" w:name="what-matters-most"/>
    <w:p>
      <w:pPr>
        <w:pStyle w:val="Heading2"/>
      </w:pPr>
      <w:r>
        <w:t xml:space="preserve">What matters most</w:t>
      </w:r>
    </w:p>
    <w:bookmarkStart w:id="14" w:name="X62dc0d6f34e6360f41fb5bedf725659addcb6c1"/>
    <w:p>
      <w:pPr>
        <w:pStyle w:val="Heading3"/>
      </w:pPr>
      <w:r>
        <w:t xml:space="preserve">1.</w:t>
      </w:r>
      <w:r>
        <w:t xml:space="preserve"> </w:t>
      </w:r>
      <w:r>
        <w:rPr>
          <w:i/>
          <w:iCs/>
        </w:rPr>
        <w:t xml:space="preserve">GTA VI</w:t>
      </w:r>
      <w:r>
        <w:t xml:space="preserve">: schedule confirmation is the first-order issue</w:t>
      </w:r>
    </w:p>
    <w:p>
      <w:pPr>
        <w:pStyle w:val="FirstParagraph"/>
      </w:pPr>
      <w:r>
        <w:t xml:space="preserve">The most important sentence in the release or call will be an unequivocal reaffirmation that</w:t>
      </w:r>
      <w:r>
        <w:t xml:space="preserve"> </w:t>
      </w:r>
      <w:r>
        <w:rPr>
          <w:i/>
          <w:iCs/>
        </w:rPr>
        <w:t xml:space="preserve">GTA VI</w:t>
      </w:r>
      <w:r>
        <w:t xml:space="preserve"> </w:t>
      </w:r>
      <w:r>
        <w:t xml:space="preserve">will launch on</w:t>
      </w:r>
      <w:r>
        <w:t xml:space="preserve"> </w:t>
      </w:r>
      <w:r>
        <w:rPr>
          <w:b/>
          <w:bCs/>
        </w:rPr>
        <w:t xml:space="preserve">November 19, 2026</w:t>
      </w:r>
      <w:r>
        <w:t xml:space="preserve">.</w:t>
      </w:r>
    </w:p>
    <w:p>
      <w:pPr>
        <w:pStyle w:val="BodyText"/>
      </w:pPr>
      <w:r>
        <w:t xml:space="preserve">Preorders began June 25, with a $79.99 standard edition and $99.99 Ultimate Edition. NBA 2K27’s premium editions also demonstrate Take-Two’s willingness to use pricing, edition mix and early-access incentives to increase revenue per buyer. (</w:t>
      </w:r>
      <w:hyperlink r:id="rId9">
        <w:r>
          <w:rPr>
            <w:rStyle w:val="Hyperlink"/>
          </w:rPr>
          <w:t xml:space="preserve">ir.take2games.com</w:t>
        </w:r>
      </w:hyperlink>
      <w:r>
        <w:t xml:space="preserve">)</w:t>
      </w:r>
    </w:p>
    <w:p>
      <w:pPr>
        <w:pStyle w:val="BodyText"/>
      </w:pPr>
      <w:r>
        <w:t xml:space="preserve">Investors should listen for:</w:t>
      </w:r>
    </w:p>
    <w:p>
      <w:pPr>
        <w:pStyle w:val="Compact"/>
        <w:numPr>
          <w:ilvl w:val="0"/>
          <w:numId w:val="1002"/>
        </w:numPr>
      </w:pPr>
      <w:r>
        <w:t xml:space="preserve">Whether development remains on schedule and major milestones have been completed.</w:t>
      </w:r>
    </w:p>
    <w:p>
      <w:pPr>
        <w:pStyle w:val="Compact"/>
        <w:numPr>
          <w:ilvl w:val="0"/>
          <w:numId w:val="1002"/>
        </w:numPr>
      </w:pPr>
      <w:r>
        <w:t xml:space="preserve">Qualitative descriptions of preorder demand by edition, geography or platform.</w:t>
      </w:r>
    </w:p>
    <w:p>
      <w:pPr>
        <w:pStyle w:val="Compact"/>
        <w:numPr>
          <w:ilvl w:val="0"/>
          <w:numId w:val="1002"/>
        </w:numPr>
      </w:pPr>
      <w:r>
        <w:t xml:space="preserve">Whether preorder activity is exceeding internal assumptions.</w:t>
      </w:r>
    </w:p>
    <w:p>
      <w:pPr>
        <w:pStyle w:val="Compact"/>
        <w:numPr>
          <w:ilvl w:val="0"/>
          <w:numId w:val="1002"/>
        </w:numPr>
      </w:pPr>
      <w:r>
        <w:t xml:space="preserve">Marketing timing and the cadence of additional trailers or gameplay disclosures.</w:t>
      </w:r>
    </w:p>
    <w:p>
      <w:pPr>
        <w:pStyle w:val="Compact"/>
        <w:numPr>
          <w:ilvl w:val="0"/>
          <w:numId w:val="1002"/>
        </w:numPr>
      </w:pPr>
      <w:r>
        <w:t xml:space="preserve">Any change to the console-only launch plan or discussion of a future PC version.</w:t>
      </w:r>
    </w:p>
    <w:p>
      <w:pPr>
        <w:pStyle w:val="Compact"/>
        <w:numPr>
          <w:ilvl w:val="0"/>
          <w:numId w:val="1002"/>
        </w:numPr>
      </w:pPr>
      <w:r>
        <w:t xml:space="preserve">Whether the $79.99 price is influencing demand or edition mix.</w:t>
      </w:r>
    </w:p>
    <w:p>
      <w:pPr>
        <w:pStyle w:val="Compact"/>
        <w:numPr>
          <w:ilvl w:val="0"/>
          <w:numId w:val="1002"/>
        </w:numPr>
      </w:pPr>
      <w:r>
        <w:t xml:space="preserve">Launch-readiness investments, including marketing, server capacity and customer support.</w:t>
      </w:r>
    </w:p>
    <w:p>
      <w:pPr>
        <w:pStyle w:val="FirstParagraph"/>
      </w:pPr>
      <w:r>
        <w:t xml:space="preserve">Only the final few days of June followed the preorder launch, and platform charging practices can vary. Therefore, reported first-quarter bookings may contain limited useful information about total</w:t>
      </w:r>
      <w:r>
        <w:t xml:space="preserve"> </w:t>
      </w:r>
      <w:r>
        <w:rPr>
          <w:i/>
          <w:iCs/>
        </w:rPr>
        <w:t xml:space="preserve">GTA VI</w:t>
      </w:r>
      <w:r>
        <w:t xml:space="preserve"> </w:t>
      </w:r>
      <w:r>
        <w:t xml:space="preserve">demand. Management’s qualitative commentary and annual guidance will be more important.</w:t>
      </w:r>
    </w:p>
    <w:p>
      <w:pPr>
        <w:pStyle w:val="BodyText"/>
      </w:pPr>
      <w:r>
        <w:rPr>
          <w:b/>
          <w:bCs/>
        </w:rPr>
        <w:t xml:space="preserve">Investor interpretation:</w:t>
      </w:r>
      <w:r>
        <w:t xml:space="preserve"> </w:t>
      </w:r>
      <w:r>
        <w:t xml:space="preserve">A simple date reaffirmation is necessary but largely expected. A more meaningful positive would be strong preorder commentary paired with a full-year guidance increase.</w:t>
      </w:r>
    </w:p>
    <w:p>
      <w:r>
        <w:pict>
          <v:rect style="width:0;height:1.5pt" o:hralign="center" o:hrstd="t" o:hr="t"/>
        </w:pict>
      </w:r>
    </w:p>
    <w:bookmarkEnd w:id="14"/>
    <w:bookmarkStart w:id="15" w:name="Xe7bb7020b04b42ca9b39dfd2187169416d60782"/>
    <w:p>
      <w:pPr>
        <w:pStyle w:val="Heading3"/>
      </w:pPr>
      <w:r>
        <w:t xml:space="preserve">2. Is the</w:t>
      </w:r>
      <w:r>
        <w:t xml:space="preserve"> </w:t>
      </w:r>
      <m:oMath>
        <m:r>
          <m:t>8.0</m:t>
        </m:r>
        <m:r>
          <m:rPr>
            <m:sty m:val="p"/>
          </m:rPr>
          <m:t>–</m:t>
        </m:r>
      </m:oMath>
      <w:r>
        <w:t xml:space="preserve">8.2 billion bookings outlook still conservative?</w:t>
      </w:r>
    </w:p>
    <w:p>
      <w:pPr>
        <w:pStyle w:val="FirstParagraph"/>
      </w:pPr>
      <w:r>
        <w:t xml:space="preserve">Management’s initial fiscal 2027 outlook assumes:</w:t>
      </w:r>
    </w:p>
    <w:p>
      <w:pPr>
        <w:pStyle w:val="Compact"/>
        <w:numPr>
          <w:ilvl w:val="0"/>
          <w:numId w:val="1003"/>
        </w:numPr>
      </w:pPr>
      <w:r>
        <w:rPr>
          <w:i/>
          <w:iCs/>
        </w:rPr>
        <w:t xml:space="preserve">GTA VI</w:t>
      </w:r>
      <w:r>
        <w:t xml:space="preserve"> </w:t>
      </w:r>
      <w:r>
        <w:t xml:space="preserve">launches on schedule.</w:t>
      </w:r>
    </w:p>
    <w:p>
      <w:pPr>
        <w:pStyle w:val="Compact"/>
        <w:numPr>
          <w:ilvl w:val="0"/>
          <w:numId w:val="1003"/>
        </w:numPr>
      </w:pPr>
      <w:r>
        <w:t xml:space="preserve">NBA 2K recurrent spending grows at a high-single-digit rate.</w:t>
      </w:r>
    </w:p>
    <w:p>
      <w:pPr>
        <w:pStyle w:val="Compact"/>
        <w:numPr>
          <w:ilvl w:val="0"/>
          <w:numId w:val="1003"/>
        </w:numPr>
      </w:pPr>
      <w:r>
        <w:t xml:space="preserve">Grand Theft Auto recurrent spending increases for the year.</w:t>
      </w:r>
    </w:p>
    <w:p>
      <w:pPr>
        <w:pStyle w:val="Compact"/>
        <w:numPr>
          <w:ilvl w:val="0"/>
          <w:numId w:val="1003"/>
        </w:numPr>
      </w:pPr>
      <w:r>
        <w:t xml:space="preserve">Mobile declines, reflecting moderation in mature Zynga titles and difficult comparisons.</w:t>
      </w:r>
    </w:p>
    <w:p>
      <w:pPr>
        <w:pStyle w:val="Compact"/>
        <w:numPr>
          <w:ilvl w:val="0"/>
          <w:numId w:val="1003"/>
        </w:numPr>
      </w:pPr>
      <w:r>
        <w:t xml:space="preserve">Recurrent spending is flat overall.</w:t>
      </w:r>
    </w:p>
    <w:p>
      <w:pPr>
        <w:pStyle w:val="FirstParagraph"/>
      </w:pPr>
      <w:r>
        <w:t xml:space="preserve">Take-Two has recently established a pattern of conservative forecasting. Fiscal 2026 bookings ultimately reached</w:t>
      </w:r>
      <w:r>
        <w:t xml:space="preserve"> </w:t>
      </w:r>
      <w:r>
        <w:rPr>
          <w:b/>
          <w:bCs/>
        </w:rPr>
        <w:t xml:space="preserve">$6.72 billion</w:t>
      </w:r>
      <w:r>
        <w:t xml:space="preserve">, roughly $750 million above the initial outlook provided in May 2025.</w:t>
      </w:r>
    </w:p>
    <w:p>
      <w:pPr>
        <w:pStyle w:val="BodyText"/>
      </w:pPr>
      <w:r>
        <w:t xml:space="preserve">That creates room for a raise, particularly after</w:t>
      </w:r>
      <w:r>
        <w:t xml:space="preserve"> </w:t>
      </w:r>
      <w:r>
        <w:rPr>
          <w:i/>
          <w:iCs/>
        </w:rPr>
        <w:t xml:space="preserve">GTA VI</w:t>
      </w:r>
      <w:r>
        <w:t xml:space="preserve"> </w:t>
      </w:r>
      <w:r>
        <w:t xml:space="preserve">pricing and preorders were finalized. But management may prefer to wait until closer to launch, given the title’s enormous importance and the inherent uncertainty around blockbuster demand.</w:t>
      </w:r>
    </w:p>
    <w:p>
      <w:pPr>
        <w:pStyle w:val="BodyText"/>
      </w:pPr>
      <w:r>
        <w:t xml:space="preserve">The market could distinguish among three outcomes:</w:t>
      </w:r>
    </w:p>
    <w:p>
      <w:pPr>
        <w:pStyle w:val="Compact"/>
        <w:numPr>
          <w:ilvl w:val="0"/>
          <w:numId w:val="1004"/>
        </w:numPr>
      </w:pPr>
      <w:r>
        <w:rPr>
          <w:b/>
          <w:bCs/>
        </w:rPr>
        <w:t xml:space="preserve">Strong:</w:t>
      </w:r>
      <w:r>
        <w:t xml:space="preserve"> </w:t>
      </w:r>
      <w:r>
        <w:t xml:space="preserve">Guidance rises above $8.2 billion, with the increase driven by core operations or</w:t>
      </w:r>
      <w:r>
        <w:t xml:space="preserve"> </w:t>
      </w:r>
      <w:r>
        <w:rPr>
          <w:i/>
          <w:iCs/>
        </w:rPr>
        <w:t xml:space="preserve">GTA VI</w:t>
      </w:r>
      <w:r>
        <w:t xml:space="preserve"> </w:t>
      </w:r>
      <w:r>
        <w:t xml:space="preserve">rather than only favorable timing.</w:t>
      </w:r>
    </w:p>
    <w:p>
      <w:pPr>
        <w:pStyle w:val="Compact"/>
        <w:numPr>
          <w:ilvl w:val="0"/>
          <w:numId w:val="1004"/>
        </w:numPr>
      </w:pPr>
      <w:r>
        <w:rPr>
          <w:b/>
          <w:bCs/>
        </w:rPr>
        <w:t xml:space="preserve">Acceptable:</w:t>
      </w:r>
      <w:r>
        <w:t xml:space="preserve"> </w:t>
      </w:r>
      <w:r>
        <w:t xml:space="preserve">Guidance is maintained, but management says early</w:t>
      </w:r>
      <w:r>
        <w:t xml:space="preserve"> </w:t>
      </w:r>
      <w:r>
        <w:rPr>
          <w:i/>
          <w:iCs/>
        </w:rPr>
        <w:t xml:space="preserve">GTA VI</w:t>
      </w:r>
      <w:r>
        <w:t xml:space="preserve"> </w:t>
      </w:r>
      <w:r>
        <w:t xml:space="preserve">indicators are above plan and expresses high confidence in the range.</w:t>
      </w:r>
    </w:p>
    <w:p>
      <w:pPr>
        <w:pStyle w:val="Compact"/>
        <w:numPr>
          <w:ilvl w:val="0"/>
          <w:numId w:val="1004"/>
        </w:numPr>
      </w:pPr>
      <w:r>
        <w:rPr>
          <w:b/>
          <w:bCs/>
        </w:rPr>
        <w:t xml:space="preserve">Disappointing:</w:t>
      </w:r>
      <w:r>
        <w:t xml:space="preserve"> </w:t>
      </w:r>
      <w:r>
        <w:t xml:space="preserve">Guidance is maintained with cautious commentary, especially if management declines to characterize preorders or highlights mobile weakness.</w:t>
      </w:r>
    </w:p>
    <w:p>
      <w:r>
        <w:pict>
          <v:rect style="width:0;height:1.5pt" o:hralign="center" o:hrstd="t" o:hr="t"/>
        </w:pict>
      </w:r>
    </w:p>
    <w:bookmarkEnd w:id="15"/>
    <w:bookmarkStart w:id="16" w:name="X348e54ea8d1734485bbf19674c915096a69901f"/>
    <w:p>
      <w:pPr>
        <w:pStyle w:val="Heading3"/>
      </w:pPr>
      <w:r>
        <w:t xml:space="preserve">3. Zynga must demonstrate that the decline assumption is prudence—not deterioration</w:t>
      </w:r>
    </w:p>
    <w:p>
      <w:pPr>
        <w:pStyle w:val="FirstParagraph"/>
      </w:pPr>
      <w:r>
        <w:t xml:space="preserve">Mobile represented about half of fiscal 2026 revenue and bookings. It therefore remains critical even though</w:t>
      </w:r>
      <w:r>
        <w:t xml:space="preserve"> </w:t>
      </w:r>
      <w:r>
        <w:rPr>
          <w:i/>
          <w:iCs/>
        </w:rPr>
        <w:t xml:space="preserve">GTA VI</w:t>
      </w:r>
      <w:r>
        <w:t xml:space="preserve"> </w:t>
      </w:r>
      <w:r>
        <w:t xml:space="preserve">dominates the narrative.</w:t>
      </w:r>
    </w:p>
    <w:p>
      <w:pPr>
        <w:pStyle w:val="BodyText"/>
      </w:pPr>
      <w:r>
        <w:t xml:space="preserve">Fiscal fourth-quarter mobile performance was strong:</w:t>
      </w:r>
    </w:p>
    <w:p>
      <w:pPr>
        <w:pStyle w:val="Compact"/>
        <w:numPr>
          <w:ilvl w:val="0"/>
          <w:numId w:val="1005"/>
        </w:numPr>
      </w:pPr>
      <w:r>
        <w:rPr>
          <w:b/>
          <w:bCs/>
        </w:rPr>
        <w:t xml:space="preserve">Toon Blast</w:t>
      </w:r>
      <w:r>
        <w:t xml:space="preserve"> </w:t>
      </w:r>
      <w:r>
        <w:t xml:space="preserve">bookings grew approximately 25%.</w:t>
      </w:r>
    </w:p>
    <w:p>
      <w:pPr>
        <w:pStyle w:val="Compact"/>
        <w:numPr>
          <w:ilvl w:val="0"/>
          <w:numId w:val="1005"/>
        </w:numPr>
      </w:pPr>
      <w:r>
        <w:rPr>
          <w:b/>
          <w:bCs/>
        </w:rPr>
        <w:t xml:space="preserve">Color Block Jam</w:t>
      </w:r>
      <w:r>
        <w:t xml:space="preserve"> </w:t>
      </w:r>
      <w:r>
        <w:t xml:space="preserve">grew approximately 15%.</w:t>
      </w:r>
    </w:p>
    <w:p>
      <w:pPr>
        <w:pStyle w:val="Compact"/>
        <w:numPr>
          <w:ilvl w:val="0"/>
          <w:numId w:val="1005"/>
        </w:numPr>
      </w:pPr>
      <w:r>
        <w:rPr>
          <w:b/>
          <w:bCs/>
        </w:rPr>
        <w:t xml:space="preserve">Empires &amp; Puzzles</w:t>
      </w:r>
      <w:r>
        <w:t xml:space="preserve"> </w:t>
      </w:r>
      <w:r>
        <w:t xml:space="preserve">grew approximately 5%.</w:t>
      </w:r>
    </w:p>
    <w:p>
      <w:pPr>
        <w:pStyle w:val="Compact"/>
        <w:numPr>
          <w:ilvl w:val="0"/>
          <w:numId w:val="1005"/>
        </w:numPr>
      </w:pPr>
      <w:r>
        <w:t xml:space="preserve">Zynga delivered its highest annual bookings since Take-Two acquired it in 2022.</w:t>
      </w:r>
    </w:p>
    <w:p>
      <w:pPr>
        <w:pStyle w:val="FirstParagraph"/>
      </w:pPr>
      <w:r>
        <w:t xml:space="preserve">Nevertheless, management entered fiscal 2027 assuming mobile bookings would decline because some titles are maturing and</w:t>
      </w:r>
      <w:r>
        <w:t xml:space="preserve"> </w:t>
      </w:r>
      <w:r>
        <w:rPr>
          <w:i/>
          <w:iCs/>
        </w:rPr>
        <w:t xml:space="preserve">Color Block Jam</w:t>
      </w:r>
      <w:r>
        <w:t xml:space="preserve"> </w:t>
      </w:r>
      <w:r>
        <w:t xml:space="preserve">faces a tougher comparison.</w:t>
      </w:r>
    </w:p>
    <w:p>
      <w:pPr>
        <w:pStyle w:val="BodyText"/>
      </w:pPr>
      <w:r>
        <w:t xml:space="preserve">Key questions include:</w:t>
      </w:r>
    </w:p>
    <w:p>
      <w:pPr>
        <w:pStyle w:val="Compact"/>
        <w:numPr>
          <w:ilvl w:val="0"/>
          <w:numId w:val="1006"/>
        </w:numPr>
      </w:pPr>
      <w:r>
        <w:t xml:space="preserve">Are Toon Blast and Match Factory maintaining their momentum?</w:t>
      </w:r>
    </w:p>
    <w:p>
      <w:pPr>
        <w:pStyle w:val="Compact"/>
        <w:numPr>
          <w:ilvl w:val="0"/>
          <w:numId w:val="1006"/>
        </w:numPr>
      </w:pPr>
      <w:r>
        <w:t xml:space="preserve">Is Color Block Jam stabilizing at an attractive run rate?</w:t>
      </w:r>
    </w:p>
    <w:p>
      <w:pPr>
        <w:pStyle w:val="Compact"/>
        <w:numPr>
          <w:ilvl w:val="0"/>
          <w:numId w:val="1006"/>
        </w:numPr>
      </w:pPr>
      <w:r>
        <w:t xml:space="preserve">Are declines in older Zynga titles occurring faster or slower than planned?</w:t>
      </w:r>
    </w:p>
    <w:p>
      <w:pPr>
        <w:pStyle w:val="Compact"/>
        <w:numPr>
          <w:ilvl w:val="0"/>
          <w:numId w:val="1006"/>
        </w:numPr>
      </w:pPr>
      <w:r>
        <w:t xml:space="preserve">Is direct-to-consumer distribution continuing to improve gross margin?</w:t>
      </w:r>
    </w:p>
    <w:p>
      <w:pPr>
        <w:pStyle w:val="Compact"/>
        <w:numPr>
          <w:ilvl w:val="0"/>
          <w:numId w:val="1006"/>
        </w:numPr>
      </w:pPr>
      <w:r>
        <w:t xml:space="preserve">Are user-acquisition costs and payback periods supportive of increased spending?</w:t>
      </w:r>
    </w:p>
    <w:p>
      <w:pPr>
        <w:pStyle w:val="Compact"/>
        <w:numPr>
          <w:ilvl w:val="0"/>
          <w:numId w:val="1006"/>
        </w:numPr>
      </w:pPr>
      <w:r>
        <w:t xml:space="preserve">What is the launch status of</w:t>
      </w:r>
      <w:r>
        <w:t xml:space="preserve"> </w:t>
      </w:r>
      <w:r>
        <w:rPr>
          <w:b/>
          <w:bCs/>
        </w:rPr>
        <w:t xml:space="preserve">CSR 3</w:t>
      </w:r>
      <w:r>
        <w:t xml:space="preserve"> </w:t>
      </w:r>
      <w:r>
        <w:t xml:space="preserve">and</w:t>
      </w:r>
      <w:r>
        <w:t xml:space="preserve"> </w:t>
      </w:r>
      <w:r>
        <w:rPr>
          <w:b/>
          <w:bCs/>
        </w:rPr>
        <w:t xml:space="preserve">Top Goal</w:t>
      </w:r>
      <w:r>
        <w:t xml:space="preserve">?</w:t>
      </w:r>
    </w:p>
    <w:p>
      <w:pPr>
        <w:pStyle w:val="FirstParagraph"/>
      </w:pPr>
      <w:r>
        <w:t xml:space="preserve">A better-than-feared mobile quarter could fund a bookings raise even without changing</w:t>
      </w:r>
      <w:r>
        <w:t xml:space="preserve"> </w:t>
      </w:r>
      <w:r>
        <w:rPr>
          <w:i/>
          <w:iCs/>
        </w:rPr>
        <w:t xml:space="preserve">GTA VI</w:t>
      </w:r>
      <w:r>
        <w:t xml:space="preserve"> </w:t>
      </w:r>
      <w:r>
        <w:t xml:space="preserve">assumptions. Conversely, mobile weakness would make the company more dependent on a flawless Rockstar launch.</w:t>
      </w:r>
    </w:p>
    <w:p>
      <w:r>
        <w:pict>
          <v:rect style="width:0;height:1.5pt" o:hralign="center" o:hrstd="t" o:hr="t"/>
        </w:pict>
      </w:r>
    </w:p>
    <w:bookmarkEnd w:id="16"/>
    <w:bookmarkStart w:id="18" w:name="Xcbd2fac0c46a3dc2aa585eefdaee0ba843fa3de"/>
    <w:p>
      <w:pPr>
        <w:pStyle w:val="Heading3"/>
      </w:pPr>
      <w:r>
        <w:t xml:space="preserve">4. NBA 2K27 will determine the second-quarter outlook</w:t>
      </w:r>
    </w:p>
    <w:p>
      <w:pPr>
        <w:pStyle w:val="FirstParagraph"/>
      </w:pPr>
      <w:r>
        <w:t xml:space="preserve">NBA 2K26 was one of fiscal 2026’s largest success stories:</w:t>
      </w:r>
    </w:p>
    <w:p>
      <w:pPr>
        <w:pStyle w:val="Compact"/>
        <w:numPr>
          <w:ilvl w:val="0"/>
          <w:numId w:val="1007"/>
        </w:numPr>
      </w:pPr>
      <w:r>
        <w:t xml:space="preserve">More than 10 million units sold-in by May.</w:t>
      </w:r>
    </w:p>
    <w:p>
      <w:pPr>
        <w:pStyle w:val="Compact"/>
        <w:numPr>
          <w:ilvl w:val="0"/>
          <w:numId w:val="1007"/>
        </w:numPr>
      </w:pPr>
      <w:r>
        <w:t xml:space="preserve">Fiscal fourth-quarter recurrent spending grew 10%.</w:t>
      </w:r>
    </w:p>
    <w:p>
      <w:pPr>
        <w:pStyle w:val="Compact"/>
        <w:numPr>
          <w:ilvl w:val="0"/>
          <w:numId w:val="1007"/>
        </w:numPr>
      </w:pPr>
      <w:r>
        <w:t xml:space="preserve">Full-year NBA 2K bookings grew more than 30%.</w:t>
      </w:r>
    </w:p>
    <w:p>
      <w:pPr>
        <w:pStyle w:val="FirstParagraph"/>
      </w:pPr>
      <w:r>
        <w:t xml:space="preserve">Management expects high-single-digit NBA 2K recurrent-spending growth in fiscal 2027 despite that difficult comparison.</w:t>
      </w:r>
    </w:p>
    <w:p>
      <w:pPr>
        <w:pStyle w:val="BodyText"/>
      </w:pPr>
      <w:r>
        <w:t xml:space="preserve">NBA 2K27 launches worldwide on</w:t>
      </w:r>
      <w:r>
        <w:t xml:space="preserve"> </w:t>
      </w:r>
      <w:r>
        <w:rPr>
          <w:b/>
          <w:bCs/>
        </w:rPr>
        <w:t xml:space="preserve">September 4</w:t>
      </w:r>
      <w:r>
        <w:t xml:space="preserve">, while Deluxe and Ultra Edition buyers receive early access beginning</w:t>
      </w:r>
      <w:r>
        <w:t xml:space="preserve"> </w:t>
      </w:r>
      <w:r>
        <w:rPr>
          <w:b/>
          <w:bCs/>
        </w:rPr>
        <w:t xml:space="preserve">August 28</w:t>
      </w:r>
      <w:r>
        <w:t xml:space="preserve">. Both dates fall in fiscal 2Q27, making the upcoming quarterly outlook an important test of franchise momentum. (</w:t>
      </w:r>
      <w:hyperlink r:id="rId17">
        <w:r>
          <w:rPr>
            <w:rStyle w:val="Hyperlink"/>
          </w:rPr>
          <w:t xml:space="preserve">newsroom.2k.com</w:t>
        </w:r>
      </w:hyperlink>
      <w:r>
        <w:t xml:space="preserve">)</w:t>
      </w:r>
    </w:p>
    <w:p>
      <w:pPr>
        <w:pStyle w:val="BodyText"/>
      </w:pPr>
      <w:r>
        <w:t xml:space="preserve">Investors should watch for:</w:t>
      </w:r>
    </w:p>
    <w:p>
      <w:pPr>
        <w:pStyle w:val="Compact"/>
        <w:numPr>
          <w:ilvl w:val="0"/>
          <w:numId w:val="1008"/>
        </w:numPr>
      </w:pPr>
      <w:r>
        <w:t xml:space="preserve">Confidence in unit sales and premium-edition adoption.</w:t>
      </w:r>
    </w:p>
    <w:p>
      <w:pPr>
        <w:pStyle w:val="Compact"/>
        <w:numPr>
          <w:ilvl w:val="0"/>
          <w:numId w:val="1008"/>
        </w:numPr>
      </w:pPr>
      <w:r>
        <w:t xml:space="preserve">Whether NBA 2K26 engagement remained healthy late in its lifecycle.</w:t>
      </w:r>
    </w:p>
    <w:p>
      <w:pPr>
        <w:pStyle w:val="Compact"/>
        <w:numPr>
          <w:ilvl w:val="0"/>
          <w:numId w:val="1008"/>
        </w:numPr>
      </w:pPr>
      <w:r>
        <w:t xml:space="preserve">The expected contribution from college-basketball content.</w:t>
      </w:r>
    </w:p>
    <w:p>
      <w:pPr>
        <w:pStyle w:val="Compact"/>
        <w:numPr>
          <w:ilvl w:val="0"/>
          <w:numId w:val="1008"/>
        </w:numPr>
      </w:pPr>
      <w:r>
        <w:t xml:space="preserve">Any evidence that fiscal 2026 monetization pulled spending forward.</w:t>
      </w:r>
    </w:p>
    <w:p>
      <w:pPr>
        <w:pStyle w:val="Compact"/>
        <w:numPr>
          <w:ilvl w:val="0"/>
          <w:numId w:val="1008"/>
        </w:numPr>
      </w:pPr>
      <w:r>
        <w:t xml:space="preserve">The size of the marketing ramp ahead of release.</w:t>
      </w:r>
    </w:p>
    <w:p>
      <w:pPr>
        <w:pStyle w:val="FirstParagraph"/>
      </w:pPr>
      <w:r>
        <w:t xml:space="preserve">A strong second-quarter bookings guide would help validate that TTWO’s non-Rockstar business remains healthy ahead of</w:t>
      </w:r>
      <w:r>
        <w:t xml:space="preserve"> </w:t>
      </w:r>
      <w:r>
        <w:rPr>
          <w:i/>
          <w:iCs/>
        </w:rPr>
        <w:t xml:space="preserve">GTA VI</w:t>
      </w:r>
      <w:r>
        <w:t xml:space="preserve">.</w:t>
      </w:r>
    </w:p>
    <w:p>
      <w:r>
        <w:pict>
          <v:rect style="width:0;height:1.5pt" o:hralign="center" o:hrstd="t" o:hr="t"/>
        </w:pict>
      </w:r>
    </w:p>
    <w:bookmarkEnd w:id="18"/>
    <w:bookmarkStart w:id="19" w:name="Xa808f466fa8861b2e16b031481bf12b9ce9f908"/>
    <w:p>
      <w:pPr>
        <w:pStyle w:val="Heading3"/>
      </w:pPr>
      <w:r>
        <w:t xml:space="preserve">5. Cash flow and expense leverage</w:t>
      </w:r>
    </w:p>
    <w:p>
      <w:pPr>
        <w:pStyle w:val="FirstParagraph"/>
      </w:pPr>
      <w:r>
        <w:t xml:space="preserve">Fiscal 2027 is supposed to mark a major financial inflection:</w:t>
      </w:r>
    </w:p>
    <w:p>
      <w:pPr>
        <w:pStyle w:val="Compact"/>
        <w:numPr>
          <w:ilvl w:val="0"/>
          <w:numId w:val="1009"/>
        </w:numPr>
      </w:pPr>
      <w:r>
        <w:t xml:space="preserve">More than</w:t>
      </w:r>
      <w:r>
        <w:t xml:space="preserve"> </w:t>
      </w:r>
      <w:r>
        <w:rPr>
          <w:b/>
          <w:bCs/>
        </w:rPr>
        <w:t xml:space="preserve">$1 billion</w:t>
      </w:r>
      <w:r>
        <w:t xml:space="preserve"> </w:t>
      </w:r>
      <w:r>
        <w:t xml:space="preserve">of operating cash flow, versus $624 million in fiscal 2026.</w:t>
      </w:r>
    </w:p>
    <w:p>
      <w:pPr>
        <w:pStyle w:val="Compact"/>
        <w:numPr>
          <w:ilvl w:val="0"/>
          <w:numId w:val="1009"/>
        </w:numPr>
      </w:pPr>
      <w:r>
        <w:t xml:space="preserve">A net cash position by fiscal year-end.</w:t>
      </w:r>
    </w:p>
    <w:p>
      <w:pPr>
        <w:pStyle w:val="Compact"/>
        <w:numPr>
          <w:ilvl w:val="0"/>
          <w:numId w:val="1009"/>
        </w:numPr>
      </w:pPr>
      <w:r>
        <w:t xml:space="preserve">Approximately 20% bookings growth against roughly 8% growth in management-basis operating expenses.</w:t>
      </w:r>
    </w:p>
    <w:p>
      <w:pPr>
        <w:pStyle w:val="FirstParagraph"/>
      </w:pPr>
      <w:r>
        <w:t xml:space="preserve">About half of the expected $300 million increase in management-basis expenses relates to selling and marketing, largely supporting</w:t>
      </w:r>
      <w:r>
        <w:t xml:space="preserve"> </w:t>
      </w:r>
      <w:r>
        <w:rPr>
          <w:i/>
          <w:iCs/>
        </w:rPr>
        <w:t xml:space="preserve">GTA VI</w:t>
      </w:r>
      <w:r>
        <w:t xml:space="preserve"> </w:t>
      </w:r>
      <w:r>
        <w:t xml:space="preserve">and the broader release slate.</w:t>
      </w:r>
    </w:p>
    <w:p>
      <w:pPr>
        <w:pStyle w:val="BodyText"/>
      </w:pPr>
      <w:r>
        <w:t xml:space="preserve">The expense increase is appropriate if launch demand materializes, but investors should watch for:</w:t>
      </w:r>
    </w:p>
    <w:p>
      <w:pPr>
        <w:pStyle w:val="Compact"/>
        <w:numPr>
          <w:ilvl w:val="0"/>
          <w:numId w:val="1010"/>
        </w:numPr>
      </w:pPr>
      <w:r>
        <w:t xml:space="preserve">Marketing spending moving between quarters.</w:t>
      </w:r>
    </w:p>
    <w:p>
      <w:pPr>
        <w:pStyle w:val="Compact"/>
        <w:numPr>
          <w:ilvl w:val="0"/>
          <w:numId w:val="1010"/>
        </w:numPr>
      </w:pPr>
      <w:r>
        <w:t xml:space="preserve">Higher-than-expected development or launch-readiness costs.</w:t>
      </w:r>
    </w:p>
    <w:p>
      <w:pPr>
        <w:pStyle w:val="Compact"/>
        <w:numPr>
          <w:ilvl w:val="0"/>
          <w:numId w:val="1010"/>
        </w:numPr>
      </w:pPr>
      <w:r>
        <w:t xml:space="preserve">Changes to the $1 billion-plus cash-flow target.</w:t>
      </w:r>
    </w:p>
    <w:p>
      <w:pPr>
        <w:pStyle w:val="Compact"/>
        <w:numPr>
          <w:ilvl w:val="0"/>
          <w:numId w:val="1010"/>
        </w:numPr>
      </w:pPr>
      <w:r>
        <w:t xml:space="preserve">Capitalized software-development costs, which reached $2.35 billion at March 31.</w:t>
      </w:r>
    </w:p>
    <w:p>
      <w:pPr>
        <w:pStyle w:val="Compact"/>
        <w:numPr>
          <w:ilvl w:val="0"/>
          <w:numId w:val="1010"/>
        </w:numPr>
      </w:pPr>
      <w:r>
        <w:t xml:space="preserve">Any capital-allocation discussion, including debt repayment, acquisitions or buybacks.</w:t>
      </w:r>
    </w:p>
    <w:p>
      <w:r>
        <w:pict>
          <v:rect style="width:0;height:1.5pt" o:hralign="center" o:hrstd="t" o:hr="t"/>
        </w:pict>
      </w:r>
    </w:p>
    <w:bookmarkEnd w:id="19"/>
    <w:bookmarkEnd w:id="20"/>
    <w:bookmarkStart w:id="24" w:name="potential-stock-reaction-framework"/>
    <w:p>
      <w:pPr>
        <w:pStyle w:val="Heading2"/>
      </w:pPr>
      <w:r>
        <w:t xml:space="preserve">Potential stock-reaction framework</w:t>
      </w:r>
    </w:p>
    <w:bookmarkStart w:id="21" w:name="bull-case"/>
    <w:p>
      <w:pPr>
        <w:pStyle w:val="Heading3"/>
      </w:pPr>
      <w:r>
        <w:t xml:space="preserve">Bull case</w:t>
      </w:r>
    </w:p>
    <w:p>
      <w:pPr>
        <w:pStyle w:val="Compact"/>
        <w:numPr>
          <w:ilvl w:val="0"/>
          <w:numId w:val="1011"/>
        </w:numPr>
      </w:pPr>
      <w:r>
        <w:t xml:space="preserve">First-quarter bookings exceed $1.37 billion.</w:t>
      </w:r>
    </w:p>
    <w:p>
      <w:pPr>
        <w:pStyle w:val="Compact"/>
        <w:numPr>
          <w:ilvl w:val="0"/>
          <w:numId w:val="1011"/>
        </w:numPr>
      </w:pPr>
      <w:r>
        <w:t xml:space="preserve">Recurrent spending is flat or positive rather than down 3%.</w:t>
      </w:r>
    </w:p>
    <w:p>
      <w:pPr>
        <w:pStyle w:val="Compact"/>
        <w:numPr>
          <w:ilvl w:val="0"/>
          <w:numId w:val="1011"/>
        </w:numPr>
      </w:pPr>
      <w:r>
        <w:t xml:space="preserve">Mobile performs better than expected.</w:t>
      </w:r>
    </w:p>
    <w:p>
      <w:pPr>
        <w:pStyle w:val="Compact"/>
        <w:numPr>
          <w:ilvl w:val="0"/>
          <w:numId w:val="1011"/>
        </w:numPr>
      </w:pPr>
      <w:r>
        <w:rPr>
          <w:i/>
          <w:iCs/>
        </w:rPr>
        <w:t xml:space="preserve">GTA VI</w:t>
      </w:r>
      <w:r>
        <w:t xml:space="preserve"> </w:t>
      </w:r>
      <w:r>
        <w:t xml:space="preserve">remains firmly on schedule.</w:t>
      </w:r>
    </w:p>
    <w:p>
      <w:pPr>
        <w:pStyle w:val="Compact"/>
        <w:numPr>
          <w:ilvl w:val="0"/>
          <w:numId w:val="1011"/>
        </w:numPr>
      </w:pPr>
      <w:r>
        <w:t xml:space="preserve">Preorders are described as above internal expectations.</w:t>
      </w:r>
    </w:p>
    <w:p>
      <w:pPr>
        <w:pStyle w:val="Compact"/>
        <w:numPr>
          <w:ilvl w:val="0"/>
          <w:numId w:val="1011"/>
        </w:numPr>
      </w:pPr>
      <w:r>
        <w:t xml:space="preserve">Fiscal 2027 bookings guidance increases, ideally toward or above $8.4 billion.</w:t>
      </w:r>
    </w:p>
    <w:p>
      <w:pPr>
        <w:pStyle w:val="Compact"/>
        <w:numPr>
          <w:ilvl w:val="0"/>
          <w:numId w:val="1011"/>
        </w:numPr>
      </w:pPr>
      <w:r>
        <w:t xml:space="preserve">Fiscal second-quarter guidance demonstrates strong NBA 2K27 demand.</w:t>
      </w:r>
    </w:p>
    <w:bookmarkEnd w:id="21"/>
    <w:bookmarkStart w:id="22" w:name="base-case"/>
    <w:p>
      <w:pPr>
        <w:pStyle w:val="Heading3"/>
      </w:pPr>
      <w:r>
        <w:t xml:space="preserve">Base case</w:t>
      </w:r>
    </w:p>
    <w:p>
      <w:pPr>
        <w:pStyle w:val="Compact"/>
        <w:numPr>
          <w:ilvl w:val="0"/>
          <w:numId w:val="1012"/>
        </w:numPr>
      </w:pPr>
      <w:r>
        <w:t xml:space="preserve">Modest quarterly beat.</w:t>
      </w:r>
    </w:p>
    <w:p>
      <w:pPr>
        <w:pStyle w:val="Compact"/>
        <w:numPr>
          <w:ilvl w:val="0"/>
          <w:numId w:val="1012"/>
        </w:numPr>
      </w:pPr>
      <w:r>
        <w:t xml:space="preserve">November 19 launch reaffirmed.</w:t>
      </w:r>
    </w:p>
    <w:p>
      <w:pPr>
        <w:pStyle w:val="Compact"/>
        <w:numPr>
          <w:ilvl w:val="0"/>
          <w:numId w:val="1012"/>
        </w:numPr>
      </w:pPr>
      <w:r>
        <w:t xml:space="preserve">Positive but nonspecific preorder commentary.</w:t>
      </w:r>
    </w:p>
    <w:p>
      <w:pPr>
        <w:pStyle w:val="Compact"/>
        <w:numPr>
          <w:ilvl w:val="0"/>
          <w:numId w:val="1012"/>
        </w:numPr>
      </w:pPr>
      <w:r>
        <w:t xml:space="preserve">Annual guidance remains</w:t>
      </w:r>
      <w:r>
        <w:t xml:space="preserve"> </w:t>
      </w:r>
      <m:oMath>
        <m:r>
          <m:t>8.0</m:t>
        </m:r>
        <m:r>
          <m:rPr>
            <m:sty m:val="p"/>
          </m:rPr>
          <m:t>–</m:t>
        </m:r>
      </m:oMath>
      <w:r>
        <w:t xml:space="preserve">8.2 billion.</w:t>
      </w:r>
    </w:p>
    <w:p>
      <w:pPr>
        <w:pStyle w:val="Compact"/>
        <w:numPr>
          <w:ilvl w:val="0"/>
          <w:numId w:val="1012"/>
        </w:numPr>
      </w:pPr>
      <w:r>
        <w:t xml:space="preserve">Second-quarter guidance is solid but not materially above expectations.</w:t>
      </w:r>
    </w:p>
    <w:p>
      <w:pPr>
        <w:pStyle w:val="FirstParagraph"/>
      </w:pPr>
      <w:r>
        <w:t xml:space="preserve">This may produce a muted or volatile reaction because the market already assumes a successful launch.</w:t>
      </w:r>
    </w:p>
    <w:bookmarkEnd w:id="22"/>
    <w:bookmarkStart w:id="23" w:name="bear-case"/>
    <w:p>
      <w:pPr>
        <w:pStyle w:val="Heading3"/>
      </w:pPr>
      <w:r>
        <w:t xml:space="preserve">Bear case</w:t>
      </w:r>
    </w:p>
    <w:p>
      <w:pPr>
        <w:pStyle w:val="Compact"/>
        <w:numPr>
          <w:ilvl w:val="0"/>
          <w:numId w:val="1013"/>
        </w:numPr>
      </w:pPr>
      <w:r>
        <w:t xml:space="preserve">Quarterly bookings or recurrent spending miss guidance.</w:t>
      </w:r>
    </w:p>
    <w:p>
      <w:pPr>
        <w:pStyle w:val="Compact"/>
        <w:numPr>
          <w:ilvl w:val="0"/>
          <w:numId w:val="1013"/>
        </w:numPr>
      </w:pPr>
      <w:r>
        <w:t xml:space="preserve">Mobile declines faster than expected.</w:t>
      </w:r>
    </w:p>
    <w:p>
      <w:pPr>
        <w:pStyle w:val="Compact"/>
        <w:numPr>
          <w:ilvl w:val="0"/>
          <w:numId w:val="1013"/>
        </w:numPr>
      </w:pPr>
      <w:r>
        <w:t xml:space="preserve">NBA 2K engagement shows meaningful normalization.</w:t>
      </w:r>
    </w:p>
    <w:p>
      <w:pPr>
        <w:pStyle w:val="Compact"/>
        <w:numPr>
          <w:ilvl w:val="0"/>
          <w:numId w:val="1013"/>
        </w:numPr>
      </w:pPr>
      <w:r>
        <w:t xml:space="preserve">Management declines to provide reassuring preorder commentary.</w:t>
      </w:r>
    </w:p>
    <w:p>
      <w:pPr>
        <w:pStyle w:val="Compact"/>
        <w:numPr>
          <w:ilvl w:val="0"/>
          <w:numId w:val="1013"/>
        </w:numPr>
      </w:pPr>
      <w:r>
        <w:t xml:space="preserve">Annual guidance remains unchanged despite strong perceived preorders—or is reduced.</w:t>
      </w:r>
    </w:p>
    <w:p>
      <w:pPr>
        <w:pStyle w:val="Compact"/>
        <w:numPr>
          <w:ilvl w:val="0"/>
          <w:numId w:val="1013"/>
        </w:numPr>
      </w:pPr>
      <w:r>
        <w:t xml:space="preserve">Any qualification around</w:t>
      </w:r>
      <w:r>
        <w:t xml:space="preserve"> </w:t>
      </w:r>
      <w:r>
        <w:rPr>
          <w:i/>
          <w:iCs/>
        </w:rPr>
        <w:t xml:space="preserve">GTA VI</w:t>
      </w:r>
      <w:r>
        <w:t xml:space="preserve">’s November 19 date.</w:t>
      </w:r>
    </w:p>
    <w:p>
      <w:pPr>
        <w:pStyle w:val="FirstParagraph"/>
      </w:pPr>
      <w:r>
        <w:t xml:space="preserve">A delay or meaningful development caveat would overwhelm virtually every other element of the report.</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rPr>
          <w:b/>
          <w:bCs/>
        </w:rPr>
        <w:t xml:space="preserve">The quarter itself is a secondary event; the credibility and upside of fiscal 2027 guidance are the real event.</w:t>
      </w:r>
    </w:p>
    <w:p>
      <w:pPr>
        <w:pStyle w:val="BodyText"/>
      </w:pPr>
      <w:r>
        <w:t xml:space="preserve">Take-Two’s underlying business enters the report in good condition, with fiscal 2026 bookings up 19%, recurrent spending representing 78% of bookings, and strength across NBA 2K, GTA Online and Zynga. The company has also already de-risked two important</w:t>
      </w:r>
      <w:r>
        <w:t xml:space="preserve"> </w:t>
      </w:r>
      <w:r>
        <w:rPr>
          <w:i/>
          <w:iCs/>
        </w:rPr>
        <w:t xml:space="preserve">GTA VI</w:t>
      </w:r>
      <w:r>
        <w:t xml:space="preserve"> </w:t>
      </w:r>
      <w:r>
        <w:t xml:space="preserve">variables by establishing a November 19 release date and launching preorders at an $80 base price.</w:t>
      </w:r>
    </w:p>
    <w:p>
      <w:pPr>
        <w:pStyle w:val="BodyText"/>
      </w:pPr>
      <w:r>
        <w:t xml:space="preserve">However, the stock is priced around a highly successful and timely launch. Investors should therefore require more than a routine first-quarter beat. The best outcome would combine:</w:t>
      </w:r>
    </w:p>
    <w:p>
      <w:pPr>
        <w:pStyle w:val="Compact"/>
        <w:numPr>
          <w:ilvl w:val="0"/>
          <w:numId w:val="1014"/>
        </w:numPr>
      </w:pPr>
      <w:r>
        <w:t xml:space="preserve">An unequivocal November 19 reaffirmation;</w:t>
      </w:r>
    </w:p>
    <w:p>
      <w:pPr>
        <w:pStyle w:val="Compact"/>
        <w:numPr>
          <w:ilvl w:val="0"/>
          <w:numId w:val="1014"/>
        </w:numPr>
      </w:pPr>
      <w:r>
        <w:t xml:space="preserve">Strong qualitative preorder evidence;</w:t>
      </w:r>
    </w:p>
    <w:p>
      <w:pPr>
        <w:pStyle w:val="Compact"/>
        <w:numPr>
          <w:ilvl w:val="0"/>
          <w:numId w:val="1014"/>
        </w:numPr>
      </w:pPr>
      <w:r>
        <w:t xml:space="preserve">Resilient mobile and NBA 2K trends; and</w:t>
      </w:r>
    </w:p>
    <w:p>
      <w:pPr>
        <w:pStyle w:val="Compact"/>
        <w:numPr>
          <w:ilvl w:val="0"/>
          <w:numId w:val="1014"/>
        </w:numPr>
      </w:pPr>
      <w:r>
        <w:t xml:space="preserve">A fiscal 2027 bookings raise—or language making a later raise appear highly likely.</w:t>
      </w:r>
    </w:p>
    <w:p>
      <w:pPr>
        <w:pStyle w:val="FirstParagraph"/>
      </w:pPr>
      <w:r>
        <w:t xml:space="preserve">TTWO closed August 6 at</w:t>
      </w:r>
      <w:r>
        <w:t xml:space="preserve"> </w:t>
      </w:r>
      <w:r>
        <w:rPr>
          <w:b/>
          <w:bCs/>
        </w:rPr>
        <w:t xml:space="preserve">$232.51</w:t>
      </w:r>
      <w:r>
        <w:t xml:space="preserve">, about 2% below its May 21 pre-earnings close and roughly 10% below its early-July high. That pullback reduces the immediate setup risk somewhat, but expectations for</w:t>
      </w:r>
      <w:r>
        <w:t xml:space="preserve"> </w:t>
      </w:r>
      <w:r>
        <w:rPr>
          <w:i/>
          <w:iCs/>
        </w:rPr>
        <w:t xml:space="preserve">GTA VI</w:t>
      </w:r>
      <w:r>
        <w:t xml:space="preserve"> </w:t>
      </w:r>
      <w:r>
        <w:t xml:space="preserve">and fiscal 2027 remain elevated. The key question Friday is not whether Take-Two beats the June-quarter guidance; it is whether management can increase investor confidence that the company will materially exceed its current full-year outlook.</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take2games.com/node/32311/pdf?utm_source=openai" TargetMode="External" /><Relationship Type="http://schemas.openxmlformats.org/officeDocument/2006/relationships/hyperlink" Id="rId17" Target="https://newsroom.2k.com/news/nbar-2k27-cover-athletes-revealed-victor-wembanyama-caitlin-clark-and-derrick-rose?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take2games.com/node/32311/pdf?utm_source=openai" TargetMode="External" /><Relationship Type="http://schemas.openxmlformats.org/officeDocument/2006/relationships/hyperlink" Id="rId17" Target="https://newsroom.2k.com/news/nbar-2k27-cover-athletes-revealed-victor-wembanyama-caitlin-clark-and-derrick-rose?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2026-08-07T00:04:18Z</dcterms:created>
  <dcterms:modified xsi:type="dcterms:W3CDTF">2026-08-07T00:04:18Z</dcterms:modified>
</cp:coreProperties>
</file>

<file path=docProps/custom.xml><?xml version="1.0" encoding="utf-8"?>
<Properties xmlns="http://schemas.openxmlformats.org/officeDocument/2006/custom-properties" xmlns:vt="http://schemas.openxmlformats.org/officeDocument/2006/docPropsVTypes"/>
</file>