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4" w:name="X47352aa13a1ba199d2b1d5bb5c96a4237288ca3"/>
    <w:p>
      <w:pPr>
        <w:pStyle w:val="Heading1"/>
      </w:pPr>
      <w:r>
        <w:t xml:space="preserve">Take-Two Interactive (TTWO) — FY2027 Q1 Earnings Preview</w:t>
      </w:r>
    </w:p>
    <w:p>
      <w:pPr>
        <w:pStyle w:val="FirstParagraph"/>
      </w:pPr>
      <w:r>
        <w:rPr>
          <w:b/>
          <w:bCs/>
        </w:rPr>
        <w:t xml:space="preserve">Report date:</w:t>
      </w:r>
      <w:r>
        <w:t xml:space="preserve"> </w:t>
      </w:r>
      <w:r>
        <w:t xml:space="preserve">Friday, August 7, 2026 (before U.S. market open)</w:t>
      </w:r>
      <w:r>
        <w:br/>
      </w:r>
      <w:r>
        <w:rPr>
          <w:b/>
          <w:bCs/>
        </w:rPr>
        <w:t xml:space="preserve">Fiscal period:</w:t>
      </w:r>
      <w:r>
        <w:t xml:space="preserve"> </w:t>
      </w:r>
      <w:r>
        <w:t xml:space="preserve">FY2027 Q1 ended June 30, 2026</w:t>
      </w:r>
      <w:r>
        <w:br/>
      </w:r>
      <w:r>
        <w:rPr>
          <w:b/>
          <w:bCs/>
        </w:rPr>
        <w:t xml:space="preserve">Core view:</w:t>
      </w:r>
      <w:r>
        <w:t xml:space="preserve"> </w:t>
      </w:r>
      <w:r>
        <w:t xml:space="preserve">This quarter is principally a</w:t>
      </w:r>
      <w:r>
        <w:t xml:space="preserve"> </w:t>
      </w:r>
      <w:r>
        <w:rPr>
          <w:b/>
          <w:bCs/>
        </w:rPr>
        <w:t xml:space="preserve">guide-validation and GTA VI de-risking event</w:t>
      </w:r>
      <w:r>
        <w:t xml:space="preserve">, rather than a quarter likely to determine the FY2027 investment case on its own. Near-term results should be supported by the durable live-services portfolio, but the stock’s reaction will likely turn on management’s confidence in the</w:t>
      </w:r>
      <w:r>
        <w:t xml:space="preserve"> </w:t>
      </w:r>
      <w:r>
        <w:rPr>
          <w:b/>
          <w:bCs/>
        </w:rPr>
        <w:t xml:space="preserve">November 19, 2026 launch of</w:t>
      </w:r>
      <w:r>
        <w:rPr>
          <w:b/>
          <w:bCs/>
        </w:rPr>
        <w:t xml:space="preserve"> </w:t>
      </w:r>
      <w:r>
        <w:rPr>
          <w:b/>
          <w:bCs/>
          <w:i/>
          <w:iCs/>
        </w:rPr>
        <w:t xml:space="preserve">Grand Theft Auto VI</w:t>
      </w:r>
      <w:r>
        <w:t xml:space="preserve">, early evidence from preorders, and whether the company maintains or raises its unusually consequential FY2027 outlook.</w:t>
      </w:r>
    </w:p>
    <w:bookmarkStart w:id="9" w:name="what-matters-most"/>
    <w:p>
      <w:pPr>
        <w:pStyle w:val="Heading2"/>
      </w:pPr>
      <w:r>
        <w:t xml:space="preserve">What matters most</w:t>
      </w:r>
    </w:p>
    <w:p>
      <w:pPr>
        <w:pStyle w:val="FirstParagraph"/>
      </w:pPr>
      <w:r>
        <w:t xml:space="preserve">TTWO enters earnings with three distinct earnings engines:</w:t>
      </w:r>
    </w:p>
    <w:p>
      <w:pPr>
        <w:numPr>
          <w:ilvl w:val="0"/>
          <w:numId w:val="1001"/>
        </w:numPr>
      </w:pPr>
      <w:r>
        <w:rPr>
          <w:b/>
          <w:bCs/>
        </w:rPr>
        <w:t xml:space="preserve">Rockstar / GTA:</w:t>
      </w:r>
      <w:r>
        <w:t xml:space="preserve"> </w:t>
      </w:r>
      <w:r>
        <w:t xml:space="preserve">The forthcoming</w:t>
      </w:r>
      <w:r>
        <w:t xml:space="preserve"> </w:t>
      </w:r>
      <w:r>
        <w:rPr>
          <w:i/>
          <w:iCs/>
        </w:rPr>
        <w:t xml:space="preserve">GTA VI</w:t>
      </w:r>
      <w:r>
        <w:t xml:space="preserve"> </w:t>
      </w:r>
      <w:r>
        <w:t xml:space="preserve">launch is the dominant FY2027 catalyst. The company has reaffirmed the November 19 release date, and preorders began in late June. Take-Two has priced the standard edition at</w:t>
      </w:r>
      <w:r>
        <w:t xml:space="preserve"> </w:t>
      </w:r>
      <m:oMath>
        <m:r>
          <m:t>79.99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t>a</m:t>
        </m:r>
        <m:r>
          <m:t>n</m:t>
        </m:r>
        <m:r>
          <m:t>d</m:t>
        </m:r>
        <m:r>
          <m:t>t</m:t>
        </m:r>
        <m:r>
          <m:t>h</m:t>
        </m:r>
        <m:r>
          <m:t>e</m:t>
        </m:r>
        <m:r>
          <m:t>U</m:t>
        </m:r>
        <m:r>
          <m:t>l</m:t>
        </m:r>
        <m:r>
          <m:t>t</m:t>
        </m:r>
        <m:r>
          <m:t>i</m:t>
        </m:r>
        <m:r>
          <m:t>m</m:t>
        </m:r>
        <m:r>
          <m:t>a</m:t>
        </m:r>
        <m:r>
          <m:t>t</m:t>
        </m:r>
        <m:r>
          <m:t>e</m:t>
        </m:r>
        <m:r>
          <m:t>E</m:t>
        </m:r>
        <m:r>
          <m:t>d</m:t>
        </m:r>
        <m:r>
          <m:t>i</m:t>
        </m:r>
        <m:r>
          <m:t>t</m:t>
        </m:r>
        <m:r>
          <m:t>i</m:t>
        </m:r>
        <m:r>
          <m:t>o</m:t>
        </m:r>
        <m:r>
          <m:t>n</m:t>
        </m:r>
        <m:r>
          <m:t>a</m:t>
        </m:r>
        <m:r>
          <m:t>t</m:t>
        </m:r>
        <m:r>
          <m:rPr>
            <m:sty m:val="p"/>
          </m:rPr>
          <m:t>*</m:t>
        </m:r>
        <m:r>
          <m:rPr>
            <m:sty m:val="p"/>
          </m:rPr>
          <m:t>*</m:t>
        </m:r>
      </m:oMath>
      <w:r>
        <w:rPr>
          <w:b/>
          <w:bCs/>
        </w:rPr>
        <w:t xml:space="preserve">99.99</w:t>
      </w:r>
      <w:r>
        <w:t xml:space="preserve">—a favorable signal for revenue per unit, although the company has not yet disclosed preorder volumes.</w:t>
      </w:r>
    </w:p>
    <w:p>
      <w:pPr>
        <w:numPr>
          <w:ilvl w:val="0"/>
          <w:numId w:val="1001"/>
        </w:numPr>
      </w:pPr>
      <w:r>
        <w:rPr>
          <w:b/>
          <w:bCs/>
        </w:rPr>
        <w:t xml:space="preserve">2K annualized franchises:</w:t>
      </w:r>
      <w:r>
        <w:t xml:space="preserve"> </w:t>
      </w:r>
      <w:r>
        <w:rPr>
          <w:i/>
          <w:iCs/>
        </w:rPr>
        <w:t xml:space="preserve">NBA 2K</w:t>
      </w:r>
      <w:r>
        <w:t xml:space="preserve"> </w:t>
      </w:r>
      <w:r>
        <w:t xml:space="preserve">remains the most important near-term console/live-service driver before</w:t>
      </w:r>
      <w:r>
        <w:t xml:space="preserve"> </w:t>
      </w:r>
      <w:r>
        <w:rPr>
          <w:i/>
          <w:iCs/>
        </w:rPr>
        <w:t xml:space="preserve">GTA VI</w:t>
      </w:r>
      <w:r>
        <w:t xml:space="preserve">. Management has guided for high-single-digit NBA 2K recurrent-consumer-spending growth in FY2027, following a record FY2026 for the franchise. The September release of</w:t>
      </w:r>
      <w:r>
        <w:t xml:space="preserve"> </w:t>
      </w:r>
      <w:r>
        <w:rPr>
          <w:i/>
          <w:iCs/>
        </w:rPr>
        <w:t xml:space="preserve">NBA 2K27</w:t>
      </w:r>
      <w:r>
        <w:t xml:space="preserve"> </w:t>
      </w:r>
      <w:r>
        <w:t xml:space="preserve">also makes Q2 commentary important.</w:t>
      </w:r>
    </w:p>
    <w:p>
      <w:pPr>
        <w:numPr>
          <w:ilvl w:val="0"/>
          <w:numId w:val="1001"/>
        </w:numPr>
      </w:pPr>
      <w:r>
        <w:rPr>
          <w:b/>
          <w:bCs/>
        </w:rPr>
        <w:t xml:space="preserve">Zynga mobile portfolio:</w:t>
      </w:r>
      <w:r>
        <w:t xml:space="preserve"> </w:t>
      </w:r>
      <w:r>
        <w:t xml:space="preserve">Mobile is both TTWO’s largest platform by revenue and its principal near-term uncertainty. FY2026 was unusually strong, helped by</w:t>
      </w:r>
      <w:r>
        <w:t xml:space="preserve"> </w:t>
      </w:r>
      <w:r>
        <w:rPr>
          <w:i/>
          <w:iCs/>
        </w:rPr>
        <w:t xml:space="preserve">Toon Blast</w:t>
      </w:r>
      <w:r>
        <w:t xml:space="preserve">,</w:t>
      </w:r>
      <w:r>
        <w:t xml:space="preserve"> </w:t>
      </w:r>
      <w:r>
        <w:rPr>
          <w:i/>
          <w:iCs/>
        </w:rPr>
        <w:t xml:space="preserve">Match Factory!</w:t>
      </w:r>
      <w:r>
        <w:t xml:space="preserve">, and</w:t>
      </w:r>
      <w:r>
        <w:t xml:space="preserve"> </w:t>
      </w:r>
      <w:r>
        <w:rPr>
          <w:i/>
          <w:iCs/>
        </w:rPr>
        <w:t xml:space="preserve">Color Block Jam</w:t>
      </w:r>
      <w:r>
        <w:t xml:space="preserve">. For FY2027, management has explicitly assumed mobile declines as it laps the prior-year strength of newer titles and moderating mature-game trends.</w:t>
      </w:r>
    </w:p>
    <w:p>
      <w:pPr>
        <w:pStyle w:val="FirstParagraph"/>
      </w:pPr>
      <w:r>
        <w:t xml:space="preserve">The key question for investors is not whether Q1 results are slightly above or below plan. It is whether the quarter supports the argument that</w:t>
      </w:r>
      <w:r>
        <w:t xml:space="preserve"> </w:t>
      </w:r>
      <w:r>
        <w:rPr>
          <w:b/>
          <w:bCs/>
        </w:rPr>
        <w:t xml:space="preserve">FY2027 guidance is conservative despite management’s cautious assumptions for mobile and recurrent spending.</w:t>
      </w:r>
    </w:p>
    <w:p>
      <w:r>
        <w:pict>
          <v:rect style="width:0;height:1.5pt" o:hralign="center" o:hrstd="t" o:hr="t"/>
        </w:pict>
      </w:r>
    </w:p>
    <w:bookmarkEnd w:id="9"/>
    <w:bookmarkStart w:id="10" w:name="Xf09879dac567a30d45293a8fc808d0ea6af1369"/>
    <w:p>
      <w:pPr>
        <w:pStyle w:val="Heading2"/>
      </w:pPr>
      <w:r>
        <w:t xml:space="preserve">The setup: a soft guided quarter ahead of a historic holiday launch</w:t>
      </w:r>
    </w:p>
    <w:p>
      <w:pPr>
        <w:pStyle w:val="FirstParagraph"/>
      </w:pPr>
      <w:r>
        <w:t xml:space="preserve">At its May earnings report, TTWO guided FY2027 Q1 net bookings to</w:t>
      </w:r>
      <w:r>
        <w:t xml:space="preserve"> </w:t>
      </w:r>
      <m:oMath>
        <m:r>
          <m:t>1.32</m:t>
        </m:r>
        <m:r>
          <m:t>b</m:t>
        </m:r>
        <m:r>
          <m:t>i</m:t>
        </m:r>
        <m:r>
          <m:t>l</m:t>
        </m:r>
        <m:r>
          <m:t>l</m:t>
        </m:r>
        <m:r>
          <m:t>i</m:t>
        </m:r>
        <m:r>
          <m:t>o</m:t>
        </m:r>
        <m:r>
          <m:t>n</m:t>
        </m:r>
        <m:r>
          <m:rPr>
            <m:sty m:val="p"/>
          </m:rPr>
          <m:t>–</m:t>
        </m:r>
      </m:oMath>
      <w:r>
        <w:rPr>
          <w:b/>
          <w:bCs/>
        </w:rPr>
        <w:t xml:space="preserve">1.37 billion</w:t>
      </w:r>
      <w:r>
        <w:t xml:space="preserve">, compared with</w:t>
      </w:r>
      <w:r>
        <w:t xml:space="preserve"> </w:t>
      </w:r>
      <w:r>
        <w:rPr>
          <w:b/>
          <w:bCs/>
        </w:rPr>
        <w:t xml:space="preserve">$1.42 billion</w:t>
      </w:r>
      <w:r>
        <w:t xml:space="preserve"> </w:t>
      </w:r>
      <w:r>
        <w:t xml:space="preserve">in the prior-year quarter. At the midpoint, this implies a roughly</w:t>
      </w:r>
      <w:r>
        <w:t xml:space="preserve"> </w:t>
      </w:r>
      <w:r>
        <w:rPr>
          <w:b/>
          <w:bCs/>
        </w:rPr>
        <w:t xml:space="preserve">5% year-over-year decline</w:t>
      </w:r>
      <w:r>
        <w:t xml:space="preserve">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Metric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FY2027 Q1 guidance</w:t>
            </w:r>
          </w:p>
        </w:tc>
        <w:tc>
          <w:tcPr/>
          <w:p>
            <w:pPr>
              <w:pStyle w:val="Compact"/>
            </w:pPr>
            <w:r>
              <w:t xml:space="preserve">Investor read-through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Net bookings</w:t>
            </w:r>
          </w:p>
        </w:tc>
        <w:tc>
          <w:tcPr/>
          <w:p>
            <w:pPr>
              <w:pStyle w:val="Compact"/>
              <w:jc w:val="right"/>
            </w:pPr>
            <m:oMath>
              <m:r>
                <m:t>1.32</m:t>
              </m:r>
              <m:r>
                <m:t>B</m:t>
              </m:r>
              <m:r>
                <m:rPr>
                  <m:sty m:val="p"/>
                </m:rPr>
                <m:t>–</m:t>
              </m:r>
            </m:oMath>
            <w:r>
              <w:t xml:space="preserve">1.37B</w:t>
            </w:r>
          </w:p>
        </w:tc>
        <w:tc>
          <w:tcPr/>
          <w:p>
            <w:pPr>
              <w:pStyle w:val="Compact"/>
            </w:pPr>
            <w:r>
              <w:t xml:space="preserve">Down year over year; a catalog/live-services quarter without a major new Rockstar release</w:t>
            </w:r>
          </w:p>
        </w:tc>
      </w:tr>
      <w:tr>
        <w:tc>
          <w:tcPr/>
          <w:p>
            <w:pPr>
              <w:pStyle w:val="Compact"/>
            </w:pPr>
            <w:r>
              <w:t xml:space="preserve">GAAP revenue</w:t>
            </w:r>
          </w:p>
        </w:tc>
        <w:tc>
          <w:tcPr/>
          <w:p>
            <w:pPr>
              <w:pStyle w:val="Compact"/>
              <w:jc w:val="right"/>
            </w:pPr>
            <m:oMath>
              <m:r>
                <m:t>1.45</m:t>
              </m:r>
              <m:r>
                <m:t>B</m:t>
              </m:r>
              <m:r>
                <m:rPr>
                  <m:sty m:val="p"/>
                </m:rPr>
                <m:t>–</m:t>
              </m:r>
            </m:oMath>
            <w:r>
              <w:t xml:space="preserve">1.50B</w:t>
            </w:r>
          </w:p>
        </w:tc>
        <w:tc>
          <w:tcPr/>
          <w:p>
            <w:pPr>
              <w:pStyle w:val="Compact"/>
            </w:pPr>
            <w:r>
              <w:t xml:space="preserve">Revenue expected to exceed bookings due to timing/deferred-revenue dynamics</w:t>
            </w:r>
          </w:p>
        </w:tc>
      </w:tr>
      <w:tr>
        <w:tc>
          <w:tcPr/>
          <w:p>
            <w:pPr>
              <w:pStyle w:val="Compact"/>
            </w:pPr>
            <w:r>
              <w:t xml:space="preserve">GAAP EPS</w:t>
            </w:r>
          </w:p>
        </w:tc>
        <w:tc>
          <w:tcPr/>
          <w:p>
            <w:pPr>
              <w:pStyle w:val="Compact"/>
              <w:jc w:val="right"/>
            </w:pPr>
            <m:oMath>
              <m:r>
                <m:rPr>
                  <m:sty m:val="p"/>
                </m:rPr>
                <m:t>(</m:t>
              </m:r>
              <m:r>
                <m:t>0.23</m:t>
              </m:r>
              <m:r>
                <m:rPr>
                  <m:sty m:val="p"/>
                </m:rPr>
                <m:t>)</m:t>
              </m:r>
              <m:r>
                <m:rPr>
                  <m:sty m:val="p"/>
                </m:rPr>
                <m:t>–</m:t>
              </m:r>
            </m:oMath>
            <w:r>
              <w:t xml:space="preserve">(0.15)</w:t>
            </w:r>
          </w:p>
        </w:tc>
        <w:tc>
          <w:tcPr/>
          <w:p>
            <w:pPr>
              <w:pStyle w:val="Compact"/>
            </w:pPr>
            <w:r>
              <w:t xml:space="preserve">Loss is expected and is not the principal debate</w:t>
            </w:r>
          </w:p>
        </w:tc>
      </w:tr>
      <w:tr>
        <w:tc>
          <w:tcPr/>
          <w:p>
            <w:pPr>
              <w:pStyle w:val="Compact"/>
            </w:pPr>
            <w:r>
              <w:t xml:space="preserve">EBITDA</w:t>
            </w:r>
          </w:p>
        </w:tc>
        <w:tc>
          <w:tcPr/>
          <w:p>
            <w:pPr>
              <w:pStyle w:val="Compact"/>
              <w:jc w:val="right"/>
            </w:pPr>
            <m:oMath>
              <m:r>
                <m:t>155</m:t>
              </m:r>
              <m:r>
                <m:t>M</m:t>
              </m:r>
              <m:r>
                <m:rPr>
                  <m:sty m:val="p"/>
                </m:rPr>
                <m:t>–</m:t>
              </m:r>
            </m:oMath>
            <w:r>
              <w:t xml:space="preserve">179M</w:t>
            </w:r>
          </w:p>
        </w:tc>
        <w:tc>
          <w:tcPr/>
          <w:p>
            <w:pPr>
              <w:pStyle w:val="Compact"/>
            </w:pPr>
            <w:r>
              <w:t xml:space="preserve">Better indicator of underlying operating progression than GAAP EPS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Recurrent consumer spending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Down ~3% y/y</w:t>
            </w:r>
          </w:p>
        </w:tc>
        <w:tc>
          <w:tcPr/>
          <w:p>
            <w:pPr>
              <w:pStyle w:val="Compact"/>
            </w:pPr>
            <w:r>
              <w:t xml:space="preserve">Biggest near-term pressure point, driven by expected declines in mobile and GTA series spending</w:t>
            </w:r>
          </w:p>
        </w:tc>
      </w:tr>
    </w:tbl>
    <w:p>
      <w:pPr>
        <w:pStyle w:val="BodyText"/>
      </w:pPr>
      <w:r>
        <w:t xml:space="preserve">This is a quarter where</w:t>
      </w:r>
      <w:r>
        <w:t xml:space="preserve"> </w:t>
      </w:r>
      <w:r>
        <w:rPr>
          <w:b/>
          <w:bCs/>
        </w:rPr>
        <w:t xml:space="preserve">net bookings, recurrent consumer spending, and FY2027 guidance</w:t>
      </w:r>
      <w:r>
        <w:t xml:space="preserve"> </w:t>
      </w:r>
      <w:r>
        <w:t xml:space="preserve">matter more than GAAP earnings per share.</w:t>
      </w:r>
    </w:p>
    <w:p>
      <w:pPr>
        <w:pStyle w:val="BodyText"/>
      </w:pPr>
      <w:r>
        <w:t xml:space="preserve">The guided decline is not necessarily alarming: FY2027 is heavily back-end loaded. The November</w:t>
      </w:r>
      <w:r>
        <w:t xml:space="preserve"> </w:t>
      </w:r>
      <w:r>
        <w:rPr>
          <w:i/>
          <w:iCs/>
        </w:rPr>
        <w:t xml:space="preserve">GTA VI</w:t>
      </w:r>
      <w:r>
        <w:t xml:space="preserve"> </w:t>
      </w:r>
      <w:r>
        <w:t xml:space="preserve">launch falls in fiscal Q3, while</w:t>
      </w:r>
      <w:r>
        <w:t xml:space="preserve"> </w:t>
      </w:r>
      <w:r>
        <w:rPr>
          <w:i/>
          <w:iCs/>
        </w:rPr>
        <w:t xml:space="preserve">NBA 2K27</w:t>
      </w:r>
      <w:r>
        <w:t xml:space="preserve"> </w:t>
      </w:r>
      <w:r>
        <w:t xml:space="preserve">is scheduled for September in fiscal Q2. Therefore, investors should avoid extrapolating Q1’s year-over-year bookings trend into the full year.</w:t>
      </w:r>
    </w:p>
    <w:p>
      <w:r>
        <w:pict>
          <v:rect style="width:0;height:1.5pt" o:hralign="center" o:hrstd="t" o:hr="t"/>
        </w:pict>
      </w:r>
    </w:p>
    <w:bookmarkEnd w:id="10"/>
    <w:bookmarkStart w:id="11" w:name="Xaf6c7089dc3e07a0078441eac33dbe79fc857ac"/>
    <w:p>
      <w:pPr>
        <w:pStyle w:val="Heading2"/>
      </w:pPr>
      <w:r>
        <w:t xml:space="preserve">Why FY2027 guidance remains the central valuation debate</w:t>
      </w:r>
    </w:p>
    <w:p>
      <w:pPr>
        <w:pStyle w:val="FirstParagraph"/>
      </w:pPr>
      <w:r>
        <w:t xml:space="preserve">TTWO’s initial FY2027 outlook calls for: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Net bookings of</w:t>
      </w:r>
      <w:r>
        <w:rPr>
          <w:b/>
          <w:bCs/>
        </w:rPr>
        <w:t xml:space="preserve"> </w:t>
      </w:r>
      <m:oMath>
        <m:r>
          <m:t>8.0</m:t>
        </m:r>
        <m:r>
          <m:t>b</m:t>
        </m:r>
        <m:r>
          <m:t>i</m:t>
        </m:r>
        <m:r>
          <m:t>l</m:t>
        </m:r>
        <m:r>
          <m:t>l</m:t>
        </m:r>
        <m:r>
          <m:t>i</m:t>
        </m:r>
        <m:r>
          <m:t>o</m:t>
        </m:r>
        <m:r>
          <m:t>n</m:t>
        </m:r>
        <m:r>
          <m:rPr>
            <m:sty m:val="p"/>
          </m:rPr>
          <m:t>–</m:t>
        </m:r>
      </m:oMath>
      <w:r>
        <w:rPr>
          <w:b/>
          <w:bCs/>
        </w:rPr>
        <w:t xml:space="preserve">8.2 billion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GAAP revenue of</w:t>
      </w:r>
      <w:r>
        <w:rPr>
          <w:b/>
          <w:bCs/>
        </w:rPr>
        <w:t xml:space="preserve"> </w:t>
      </w:r>
      <m:oMath>
        <m:r>
          <m:t>7.9</m:t>
        </m:r>
        <m:r>
          <m:t>b</m:t>
        </m:r>
        <m:r>
          <m:t>i</m:t>
        </m:r>
        <m:r>
          <m:t>l</m:t>
        </m:r>
        <m:r>
          <m:t>l</m:t>
        </m:r>
        <m:r>
          <m:t>i</m:t>
        </m:r>
        <m:r>
          <m:t>o</m:t>
        </m:r>
        <m:r>
          <m:t>n</m:t>
        </m:r>
        <m:r>
          <m:rPr>
            <m:sty m:val="p"/>
          </m:rPr>
          <m:t>–</m:t>
        </m:r>
      </m:oMath>
      <w:r>
        <w:rPr>
          <w:b/>
          <w:bCs/>
        </w:rPr>
        <w:t xml:space="preserve">8.1 billion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EBITDA of</w:t>
      </w:r>
      <w:r>
        <w:rPr>
          <w:b/>
          <w:bCs/>
        </w:rPr>
        <w:t xml:space="preserve"> </w:t>
      </w:r>
      <m:oMath>
        <m:r>
          <m:t>1.013</m:t>
        </m:r>
        <m:r>
          <m:t>b</m:t>
        </m:r>
        <m:r>
          <m:t>i</m:t>
        </m:r>
        <m:r>
          <m:t>l</m:t>
        </m:r>
        <m:r>
          <m:t>l</m:t>
        </m:r>
        <m:r>
          <m:t>i</m:t>
        </m:r>
        <m:r>
          <m:t>o</m:t>
        </m:r>
        <m:r>
          <m:t>n</m:t>
        </m:r>
        <m:r>
          <m:rPr>
            <m:sty m:val="p"/>
          </m:rPr>
          <m:t>–</m:t>
        </m:r>
      </m:oMath>
      <w:r>
        <w:rPr>
          <w:b/>
          <w:bCs/>
        </w:rPr>
        <w:t xml:space="preserve">1.070 billion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Operating cash flow above $1.0 billion</w:t>
      </w:r>
    </w:p>
    <w:p>
      <w:pPr>
        <w:pStyle w:val="Compact"/>
        <w:numPr>
          <w:ilvl w:val="0"/>
          <w:numId w:val="1002"/>
        </w:numPr>
      </w:pPr>
      <w:r>
        <w:t xml:space="preserve">A move to a</w:t>
      </w:r>
      <w:r>
        <w:t xml:space="preserve"> </w:t>
      </w:r>
      <w:r>
        <w:rPr>
          <w:b/>
          <w:bCs/>
        </w:rPr>
        <w:t xml:space="preserve">net-cash position by fiscal year-end</w:t>
      </w:r>
    </w:p>
    <w:p>
      <w:pPr>
        <w:pStyle w:val="FirstParagraph"/>
      </w:pPr>
      <w:r>
        <w:t xml:space="preserve">At the $8.1 billion bookings midpoint, the outlook implies approximately</w:t>
      </w:r>
      <w:r>
        <w:t xml:space="preserve"> </w:t>
      </w:r>
      <w:r>
        <w:rPr>
          <w:b/>
          <w:bCs/>
        </w:rPr>
        <w:t xml:space="preserve">20% growth</w:t>
      </w:r>
      <w:r>
        <w:t xml:space="preserve"> </w:t>
      </w:r>
      <w:r>
        <w:t xml:space="preserve">from FY2026 net bookings of $6.72 billion. Importantly, management has forecast recurrent consumer spending to be</w:t>
      </w:r>
      <w:r>
        <w:t xml:space="preserve"> </w:t>
      </w:r>
      <w:r>
        <w:rPr>
          <w:b/>
          <w:bCs/>
        </w:rPr>
        <w:t xml:space="preserve">roughly flat in dollars</w:t>
      </w:r>
      <w:r>
        <w:t xml:space="preserve">, falling to about</w:t>
      </w:r>
      <w:r>
        <w:t xml:space="preserve"> </w:t>
      </w:r>
      <w:r>
        <w:rPr>
          <w:b/>
          <w:bCs/>
        </w:rPr>
        <w:t xml:space="preserve">65% of bookings</w:t>
      </w:r>
      <w:r>
        <w:t xml:space="preserve"> </w:t>
      </w:r>
      <w:r>
        <w:t xml:space="preserve">from 78% in FY2026. That mix shift implies that the major source of growth is expected to be premium full-game sales—principally</w:t>
      </w:r>
      <w:r>
        <w:t xml:space="preserve"> </w:t>
      </w:r>
      <w:r>
        <w:rPr>
          <w:i/>
          <w:iCs/>
        </w:rPr>
        <w:t xml:space="preserve">GTA VI</w:t>
      </w:r>
      <w:r>
        <w:t xml:space="preserve">.</w:t>
      </w:r>
    </w:p>
    <w:p>
      <w:pPr>
        <w:pStyle w:val="BodyText"/>
      </w:pPr>
      <w:r>
        <w:t xml:space="preserve">Management’s fiscal-year label mix assumptions are also revealing: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FY2027 bookings mix assumption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Approx. share</w:t>
            </w:r>
          </w:p>
        </w:tc>
      </w:tr>
      <w:tr>
        <w:tc>
          <w:tcPr/>
          <w:p>
            <w:pPr>
              <w:pStyle w:val="Compact"/>
            </w:pPr>
            <w:r>
              <w:t xml:space="preserve">Rockstar Games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36%</w:t>
            </w:r>
          </w:p>
        </w:tc>
      </w:tr>
      <w:tr>
        <w:tc>
          <w:tcPr/>
          <w:p>
            <w:pPr>
              <w:pStyle w:val="Compact"/>
            </w:pPr>
            <w:r>
              <w:t xml:space="preserve">Zynga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35%</w:t>
            </w:r>
          </w:p>
        </w:tc>
      </w:tr>
      <w:tr>
        <w:tc>
          <w:tcPr/>
          <w:p>
            <w:pPr>
              <w:pStyle w:val="Compact"/>
            </w:pPr>
            <w:r>
              <w:t xml:space="preserve">2K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29%</w:t>
            </w:r>
          </w:p>
        </w:tc>
      </w:tr>
    </w:tbl>
    <w:p>
      <w:pPr>
        <w:pStyle w:val="BodyText"/>
      </w:pPr>
      <w:r>
        <w:t xml:space="preserve">At the midpoint of guidance, Rockstar alone would represent roughly</w:t>
      </w:r>
      <w:r>
        <w:t xml:space="preserve"> </w:t>
      </w:r>
      <w:r>
        <w:rPr>
          <w:b/>
          <w:bCs/>
        </w:rPr>
        <w:t xml:space="preserve">$2.9 billion</w:t>
      </w:r>
      <w:r>
        <w:t xml:space="preserve"> </w:t>
      </w:r>
      <w:r>
        <w:t xml:space="preserve">of bookings. That illustrates both the opportunity and the concentration of risk in the</w:t>
      </w:r>
      <w:r>
        <w:t xml:space="preserve"> </w:t>
      </w:r>
      <w:r>
        <w:rPr>
          <w:i/>
          <w:iCs/>
        </w:rPr>
        <w:t xml:space="preserve">GTA VI</w:t>
      </w:r>
      <w:r>
        <w:t xml:space="preserve"> </w:t>
      </w:r>
      <w:r>
        <w:t xml:space="preserve">launch.</w:t>
      </w:r>
    </w:p>
    <w:p>
      <w:r>
        <w:pict>
          <v:rect style="width:0;height:1.5pt" o:hralign="center" o:hrstd="t" o:hr="t"/>
        </w:pict>
      </w:r>
    </w:p>
    <w:bookmarkEnd w:id="11"/>
    <w:bookmarkStart w:id="14" w:name="X00e316215eac3c90f787eedc8451084f27a76eb"/>
    <w:p>
      <w:pPr>
        <w:pStyle w:val="Heading2"/>
      </w:pPr>
      <w:r>
        <w:t xml:space="preserve">GTA VI: the variables to watch on the call</w:t>
      </w:r>
    </w:p>
    <w:p>
      <w:pPr>
        <w:pStyle w:val="FirstParagraph"/>
      </w:pPr>
      <w:r>
        <w:t xml:space="preserve">The May call established a clear framework: Take-Two expects</w:t>
      </w:r>
      <w:r>
        <w:t xml:space="preserve"> </w:t>
      </w:r>
      <w:r>
        <w:rPr>
          <w:i/>
          <w:iCs/>
        </w:rPr>
        <w:t xml:space="preserve">GTA VI</w:t>
      </w:r>
      <w:r>
        <w:t xml:space="preserve"> </w:t>
      </w:r>
      <w:r>
        <w:t xml:space="preserve">to launch on</w:t>
      </w:r>
      <w:r>
        <w:t xml:space="preserve"> </w:t>
      </w:r>
      <w:r>
        <w:rPr>
          <w:b/>
          <w:bCs/>
        </w:rPr>
        <w:t xml:space="preserve">November 19, 2026</w:t>
      </w:r>
      <w:r>
        <w:t xml:space="preserve"> </w:t>
      </w:r>
      <w:r>
        <w:t xml:space="preserve">for PlayStation 5 and Xbox Series X|S, while any PC version remains unannounced. Since then, the company has opened preorders and confirmed a $79.99 standard-edition price point.</w:t>
      </w:r>
    </w:p>
    <w:bookmarkStart w:id="12" w:name="bullish-signals"/>
    <w:p>
      <w:pPr>
        <w:pStyle w:val="Heading3"/>
      </w:pPr>
      <w:r>
        <w:t xml:space="preserve">Bullish signals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Launch-date reaffirmation:</w:t>
      </w:r>
      <w:r>
        <w:t xml:space="preserve"> </w:t>
      </w:r>
      <w:r>
        <w:t xml:space="preserve">Another confirmation of the November 19 date would be the most important fundamental positive.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Preorder demand:</w:t>
      </w:r>
      <w:r>
        <w:t xml:space="preserve"> </w:t>
      </w:r>
      <w:r>
        <w:t xml:space="preserve">Management may not provide a unit figure, but commentary on demand, edition mix, retailer/platform support, or marketing engagement would help investors assess the launch trajectory.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Pricing and premium mix:</w:t>
      </w:r>
      <w:r>
        <w:t xml:space="preserve"> </w:t>
      </w:r>
      <w:r>
        <w:t xml:space="preserve">The $79.99 standard edition and $99.99 Ultimate Edition create a higher starting revenue base than a conventional $69.99 release. Strong mix into premium editions could lift the economics without requiring an equivalent increase in unit demand.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Marketing cadence:</w:t>
      </w:r>
      <w:r>
        <w:t xml:space="preserve"> </w:t>
      </w:r>
      <w:r>
        <w:t xml:space="preserve">Rockstar’s marketing campaign was expected to begin during the summer. Investors should look for confirmation that the campaign is progressing as planned and for any indication of the next marketing beats.</w:t>
      </w:r>
    </w:p>
    <w:bookmarkEnd w:id="12"/>
    <w:bookmarkStart w:id="13" w:name="key-uncertainties"/>
    <w:p>
      <w:pPr>
        <w:pStyle w:val="Heading3"/>
      </w:pPr>
      <w:r>
        <w:t xml:space="preserve">Key uncertainties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No disclosed GTA Online plan:</w:t>
      </w:r>
      <w:r>
        <w:t xml:space="preserve"> </w:t>
      </w:r>
      <w:r>
        <w:t xml:space="preserve">Management has been deliberately noncommittal on the eventual online model for</w:t>
      </w:r>
      <w:r>
        <w:t xml:space="preserve"> </w:t>
      </w:r>
      <w:r>
        <w:rPr>
          <w:i/>
          <w:iCs/>
        </w:rPr>
        <w:t xml:space="preserve">GTA VI</w:t>
      </w:r>
      <w:r>
        <w:t xml:space="preserve">. The legacy</w:t>
      </w:r>
      <w:r>
        <w:t xml:space="preserve"> </w:t>
      </w:r>
      <w:r>
        <w:rPr>
          <w:i/>
          <w:iCs/>
        </w:rPr>
        <w:t xml:space="preserve">GTA Online</w:t>
      </w:r>
      <w:r>
        <w:t xml:space="preserve"> </w:t>
      </w:r>
      <w:r>
        <w:t xml:space="preserve">business will remain in market, but the timing, structure, and monetization of a new online offering have not been formally detailed.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Console-only announcement to date:</w:t>
      </w:r>
      <w:r>
        <w:t xml:space="preserve"> </w:t>
      </w:r>
      <w:r>
        <w:t xml:space="preserve">A PC version is likely an eventual opportunity based on Take-Two’s historical platform strategy, but it is not part of the formally announced launch configuration.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Preorder accounting:</w:t>
      </w:r>
      <w:r>
        <w:t xml:space="preserve"> </w:t>
      </w:r>
      <w:r>
        <w:t xml:space="preserve">With preorders opening only days before the June 30 quarter-end, investors should not assume that high demand converts one-for-one into Q1 reported revenue or bookings. The more valuable signal is demand validation and any contribution to confidence in FY2027’s guide.</w:t>
      </w:r>
    </w:p>
    <w:p>
      <w:r>
        <w:pict>
          <v:rect style="width:0;height:1.5pt" o:hralign="center" o:hrstd="t" o:hr="t"/>
        </w:pict>
      </w:r>
    </w:p>
    <w:bookmarkEnd w:id="13"/>
    <w:bookmarkEnd w:id="14"/>
    <w:bookmarkStart w:id="18" w:name="Xb377f413d3980bf06c326aeab5fe60beede0bab"/>
    <w:p>
      <w:pPr>
        <w:pStyle w:val="Heading2"/>
      </w:pPr>
      <w:r>
        <w:t xml:space="preserve">Underlying business: stronger than the GTA headline suggests</w:t>
      </w:r>
    </w:p>
    <w:p>
      <w:pPr>
        <w:pStyle w:val="FirstParagraph"/>
      </w:pPr>
      <w:r>
        <w:t xml:space="preserve">TTWO is not solely a one-title story. In FY2026, the company delivered record net bookings of</w:t>
      </w:r>
      <w:r>
        <w:t xml:space="preserve"> </w:t>
      </w:r>
      <w:r>
        <w:rPr>
          <w:b/>
          <w:bCs/>
        </w:rPr>
        <w:t xml:space="preserve">$6.72 billion</w:t>
      </w:r>
      <w:r>
        <w:t xml:space="preserve">, up 19%, and recurrent consumer spending grew 17%. The latest reported quarter exceeded its bookings guide, with better-than-expected performance in GTA, mobile, and Red Dead Redemption.</w:t>
      </w:r>
    </w:p>
    <w:p>
      <w:pPr>
        <w:pStyle w:val="BodyText"/>
      </w:pPr>
      <w:r>
        <w:t xml:space="preserve">Several operating trends deserve attention:</w:t>
      </w:r>
    </w:p>
    <w:bookmarkStart w:id="15" w:name="Xa562ec51c82a6748797afc8bc417d5c8f16f1f1"/>
    <w:p>
      <w:pPr>
        <w:pStyle w:val="Heading3"/>
      </w:pPr>
      <w:r>
        <w:t xml:space="preserve">1. NBA 2K durability</w:t>
      </w:r>
    </w:p>
    <w:p>
      <w:pPr>
        <w:pStyle w:val="FirstParagraph"/>
      </w:pPr>
      <w:r>
        <w:rPr>
          <w:i/>
          <w:iCs/>
        </w:rPr>
        <w:t xml:space="preserve">NBA 2K26</w:t>
      </w:r>
      <w:r>
        <w:t xml:space="preserve"> </w:t>
      </w:r>
      <w:r>
        <w:t xml:space="preserve">had sold in more than</w:t>
      </w:r>
      <w:r>
        <w:t xml:space="preserve"> </w:t>
      </w:r>
      <w:r>
        <w:rPr>
          <w:b/>
          <w:bCs/>
        </w:rPr>
        <w:t xml:space="preserve">10 million units</w:t>
      </w:r>
      <w:r>
        <w:t xml:space="preserve"> </w:t>
      </w:r>
      <w:r>
        <w:t xml:space="preserve">as of the May call, up 5% versus the prior title, while recurrent consumer spending grew 10% in the March quarter. Management called FY2026 a record year for the franchise and expects high-single-digit recurrent-spending growth in FY2027.</w:t>
      </w:r>
    </w:p>
    <w:p>
      <w:pPr>
        <w:pStyle w:val="BodyText"/>
      </w:pPr>
      <w:r>
        <w:t xml:space="preserve">For Q1, investors should focus on whether that underlying momentum remains intact as TTWO approaches the</w:t>
      </w:r>
      <w:r>
        <w:t xml:space="preserve"> </w:t>
      </w:r>
      <w:r>
        <w:rPr>
          <w:i/>
          <w:iCs/>
        </w:rPr>
        <w:t xml:space="preserve">NBA 2K27</w:t>
      </w:r>
      <w:r>
        <w:t xml:space="preserve"> </w:t>
      </w:r>
      <w:r>
        <w:t xml:space="preserve">launch. Commentary on engagement, payer trends, and the company’s college-basketball ambitions could be material to the medium-term 2K outlook.</w:t>
      </w:r>
    </w:p>
    <w:bookmarkEnd w:id="15"/>
    <w:bookmarkStart w:id="16" w:name="Xc8a3ba42e308d3adba4a4158e1684e39d8bb8c2"/>
    <w:p>
      <w:pPr>
        <w:pStyle w:val="Heading3"/>
      </w:pPr>
      <w:r>
        <w:t xml:space="preserve">2. Mobile normalization versus deterioration</w:t>
      </w:r>
    </w:p>
    <w:p>
      <w:pPr>
        <w:pStyle w:val="FirstParagraph"/>
      </w:pPr>
      <w:r>
        <w:t xml:space="preserve">Mobile accounted for approximately</w:t>
      </w:r>
      <w:r>
        <w:t xml:space="preserve"> </w:t>
      </w:r>
      <w:r>
        <w:rPr>
          <w:b/>
          <w:bCs/>
        </w:rPr>
        <w:t xml:space="preserve">half of FY2026 revenue</w:t>
      </w:r>
      <w:r>
        <w:t xml:space="preserve">, making it a critical counterweight to the console-led GTA launch. The company has guided mobile lower in FY2027, characterizing the assumption as prudence rather than a sharp deterioration in current trends.</w:t>
      </w:r>
    </w:p>
    <w:p>
      <w:pPr>
        <w:pStyle w:val="BodyText"/>
      </w:pPr>
      <w:r>
        <w:t xml:space="preserve">The call should clarify whether:</w:t>
      </w:r>
    </w:p>
    <w:p>
      <w:pPr>
        <w:pStyle w:val="Compact"/>
        <w:numPr>
          <w:ilvl w:val="0"/>
          <w:numId w:val="1005"/>
        </w:numPr>
      </w:pPr>
      <w:r>
        <w:rPr>
          <w:i/>
          <w:iCs/>
        </w:rPr>
        <w:t xml:space="preserve">Toon Blast</w:t>
      </w:r>
      <w:r>
        <w:t xml:space="preserve"> </w:t>
      </w:r>
      <w:r>
        <w:t xml:space="preserve">is still sustaining its strong engagement-led growth;</w:t>
      </w:r>
    </w:p>
    <w:p>
      <w:pPr>
        <w:pStyle w:val="Compact"/>
        <w:numPr>
          <w:ilvl w:val="0"/>
          <w:numId w:val="1005"/>
        </w:numPr>
      </w:pPr>
      <w:r>
        <w:rPr>
          <w:i/>
          <w:iCs/>
        </w:rPr>
        <w:t xml:space="preserve">Match Factory!</w:t>
      </w:r>
      <w:r>
        <w:t xml:space="preserve"> </w:t>
      </w:r>
      <w:r>
        <w:t xml:space="preserve">is moderating as expected or outperforming;</w:t>
      </w:r>
    </w:p>
    <w:p>
      <w:pPr>
        <w:pStyle w:val="Compact"/>
        <w:numPr>
          <w:ilvl w:val="0"/>
          <w:numId w:val="1005"/>
        </w:numPr>
      </w:pPr>
      <w:r>
        <w:rPr>
          <w:i/>
          <w:iCs/>
        </w:rPr>
        <w:t xml:space="preserve">Color Block Jam</w:t>
      </w:r>
      <w:r>
        <w:t xml:space="preserve"> </w:t>
      </w:r>
      <w:r>
        <w:t xml:space="preserve">is declining from an elevated prior-year base at a manageable pace;</w:t>
      </w:r>
    </w:p>
    <w:p>
      <w:pPr>
        <w:pStyle w:val="Compact"/>
        <w:numPr>
          <w:ilvl w:val="0"/>
          <w:numId w:val="1005"/>
        </w:numPr>
      </w:pPr>
      <w:r>
        <w:t xml:space="preserve">player-acquisition economics remain attractive; and</w:t>
      </w:r>
    </w:p>
    <w:p>
      <w:pPr>
        <w:pStyle w:val="Compact"/>
        <w:numPr>
          <w:ilvl w:val="0"/>
          <w:numId w:val="1005"/>
        </w:numPr>
      </w:pPr>
      <w:r>
        <w:t xml:space="preserve">direct-to-consumer distribution is continuing to improve margins and conversion.</w:t>
      </w:r>
    </w:p>
    <w:p>
      <w:pPr>
        <w:pStyle w:val="FirstParagraph"/>
      </w:pPr>
      <w:r>
        <w:t xml:space="preserve">A mobile result that is merely “less down” than planned could support a full-year bookings raise, given the conservatism embedded in the initial outlook.</w:t>
      </w:r>
    </w:p>
    <w:bookmarkEnd w:id="16"/>
    <w:bookmarkStart w:id="17" w:name="X761ed3acc68c677a7eec9e0b51adce730380b97"/>
    <w:p>
      <w:pPr>
        <w:pStyle w:val="Heading3"/>
      </w:pPr>
      <w:r>
        <w:t xml:space="preserve">3. GTA V / GTA Online and Red Dead remain meaningful</w:t>
      </w:r>
    </w:p>
    <w:p>
      <w:pPr>
        <w:pStyle w:val="FirstParagraph"/>
      </w:pPr>
      <w:r>
        <w:t xml:space="preserve">The legacy Rockstar catalog remains unusually resilient. As of May,</w:t>
      </w:r>
      <w:r>
        <w:t xml:space="preserve"> </w:t>
      </w:r>
      <w:r>
        <w:rPr>
          <w:i/>
          <w:iCs/>
        </w:rPr>
        <w:t xml:space="preserve">Grand Theft Auto V</w:t>
      </w:r>
      <w:r>
        <w:t xml:space="preserve"> </w:t>
      </w:r>
      <w:r>
        <w:t xml:space="preserve">had sold in nearly</w:t>
      </w:r>
      <w:r>
        <w:t xml:space="preserve"> </w:t>
      </w:r>
      <w:r>
        <w:rPr>
          <w:b/>
          <w:bCs/>
        </w:rPr>
        <w:t xml:space="preserve">230 million units</w:t>
      </w:r>
      <w:r>
        <w:t xml:space="preserve"> </w:t>
      </w:r>
      <w:r>
        <w:t xml:space="preserve">and</w:t>
      </w:r>
      <w:r>
        <w:t xml:space="preserve"> </w:t>
      </w:r>
      <w:r>
        <w:rPr>
          <w:i/>
          <w:iCs/>
        </w:rPr>
        <w:t xml:space="preserve">Red Dead Redemption 2</w:t>
      </w:r>
      <w:r>
        <w:t xml:space="preserve"> </w:t>
      </w:r>
      <w:r>
        <w:t xml:space="preserve">had surpassed</w:t>
      </w:r>
      <w:r>
        <w:t xml:space="preserve"> </w:t>
      </w:r>
      <w:r>
        <w:rPr>
          <w:b/>
          <w:bCs/>
        </w:rPr>
        <w:t xml:space="preserve">85 million units</w:t>
      </w:r>
      <w:r>
        <w:t xml:space="preserve">. The existing GTA ecosystem can be both a source of cash flow and a useful demand funnel into the next release.</w:t>
      </w:r>
    </w:p>
    <w:p>
      <w:pPr>
        <w:pStyle w:val="BodyText"/>
      </w:pPr>
      <w:r>
        <w:t xml:space="preserve">The risk is that management’s Q1 guide already anticipated a decline in GTA-series recurrent spending. Better-than-expected legacy GTA engagement would be a positive offset to mobile softness; worse results would make investors more concerned about whether consumer attention shifts away before the new title arrives.</w:t>
      </w:r>
    </w:p>
    <w:p>
      <w:r>
        <w:pict>
          <v:rect style="width:0;height:1.5pt" o:hralign="center" o:hrstd="t" o:hr="t"/>
        </w:pict>
      </w:r>
    </w:p>
    <w:bookmarkEnd w:id="17"/>
    <w:bookmarkEnd w:id="18"/>
    <w:bookmarkStart w:id="19" w:name="financial-profile-and-balance-sheet"/>
    <w:p>
      <w:pPr>
        <w:pStyle w:val="Heading2"/>
      </w:pPr>
      <w:r>
        <w:t xml:space="preserve">Financial profile and balance sheet</w:t>
      </w:r>
    </w:p>
    <w:p>
      <w:pPr>
        <w:pStyle w:val="FirstParagraph"/>
      </w:pPr>
      <w:r>
        <w:t xml:space="preserve">TTWO ended FY2026 with:</w:t>
      </w:r>
    </w:p>
    <w:p>
      <w:pPr>
        <w:pStyle w:val="Compact"/>
        <w:numPr>
          <w:ilvl w:val="0"/>
          <w:numId w:val="1006"/>
        </w:numPr>
      </w:pPr>
      <w:r>
        <w:rPr>
          <w:b/>
          <w:bCs/>
        </w:rPr>
        <w:t xml:space="preserve">$1.55 billion of cash and cash equivalents</w:t>
      </w:r>
    </w:p>
    <w:p>
      <w:pPr>
        <w:pStyle w:val="Compact"/>
        <w:numPr>
          <w:ilvl w:val="0"/>
          <w:numId w:val="1006"/>
        </w:numPr>
      </w:pPr>
      <w:r>
        <w:rPr>
          <w:b/>
          <w:bCs/>
        </w:rPr>
        <w:t xml:space="preserve">$444 million of short-term investments</w:t>
      </w:r>
    </w:p>
    <w:p>
      <w:pPr>
        <w:pStyle w:val="Compact"/>
        <w:numPr>
          <w:ilvl w:val="0"/>
          <w:numId w:val="1006"/>
        </w:numPr>
      </w:pPr>
      <w:r>
        <w:rPr>
          <w:b/>
          <w:bCs/>
        </w:rPr>
        <w:t xml:space="preserve">$2.49 billion of long-term debt</w:t>
      </w:r>
    </w:p>
    <w:p>
      <w:pPr>
        <w:pStyle w:val="Compact"/>
        <w:numPr>
          <w:ilvl w:val="0"/>
          <w:numId w:val="1006"/>
        </w:numPr>
      </w:pPr>
      <w:r>
        <w:t xml:space="preserve">FY2026 operating cash flow of</w:t>
      </w:r>
      <w:r>
        <w:t xml:space="preserve"> </w:t>
      </w:r>
      <w:r>
        <w:rPr>
          <w:b/>
          <w:bCs/>
        </w:rPr>
        <w:t xml:space="preserve">$624 million</w:t>
      </w:r>
    </w:p>
    <w:p>
      <w:pPr>
        <w:pStyle w:val="FirstParagraph"/>
      </w:pPr>
      <w:r>
        <w:t xml:space="preserve">The balance sheet is meaningfully improved following debt repayment and the company expects to become net cash by the end of FY2027. That outlook depends on a successful GTA-driven cash-flow inflection, but it also provides flexibility for selective M&amp;A, continued technology investment, and opportunistic buybacks.</w:t>
      </w:r>
    </w:p>
    <w:p>
      <w:pPr>
        <w:pStyle w:val="BodyText"/>
      </w:pPr>
      <w:r>
        <w:t xml:space="preserve">The more relevant margin question is whether TTWO can convert the expected revenue step-up into sustainable earnings leverage. Management has guided FY2027 operating-expense growth of roughly 8% on a management basis—well below expected bookings growth—despite elevated GTA VI marketing. If realized, that is an important proof point that FY2027 represents a higher long-term earnings base rather than a one-year revenue spike.</w:t>
      </w:r>
    </w:p>
    <w:p>
      <w:r>
        <w:pict>
          <v:rect style="width:0;height:1.5pt" o:hralign="center" o:hrstd="t" o:hr="t"/>
        </w:pict>
      </w:r>
    </w:p>
    <w:bookmarkEnd w:id="19"/>
    <w:bookmarkStart w:id="20" w:name="stock-positioning-and-expectations"/>
    <w:p>
      <w:pPr>
        <w:pStyle w:val="Heading2"/>
      </w:pPr>
      <w:r>
        <w:t xml:space="preserve">Stock positioning and expectations</w:t>
      </w:r>
    </w:p>
    <w:p>
      <w:pPr>
        <w:pStyle w:val="FirstParagraph"/>
      </w:pPr>
      <w:r>
        <w:t xml:space="preserve">TTWO closed at</w:t>
      </w:r>
      <w:r>
        <w:t xml:space="preserve"> </w:t>
      </w:r>
      <w:r>
        <w:rPr>
          <w:b/>
          <w:bCs/>
        </w:rPr>
        <w:t xml:space="preserve">$232.51 on August 6</w:t>
      </w:r>
      <w:r>
        <w:t xml:space="preserve">, down about</w:t>
      </w:r>
      <w:r>
        <w:t xml:space="preserve"> </w:t>
      </w:r>
      <w:r>
        <w:rPr>
          <w:b/>
          <w:bCs/>
        </w:rPr>
        <w:t xml:space="preserve">10% from its July 6 closing high of $258.41</w:t>
      </w:r>
      <w:r>
        <w:t xml:space="preserve"> </w:t>
      </w:r>
      <w:r>
        <w:t xml:space="preserve">and modestly below its May earnings-date close. The share-price action suggests enthusiasm over</w:t>
      </w:r>
      <w:r>
        <w:t xml:space="preserve"> </w:t>
      </w:r>
      <w:r>
        <w:rPr>
          <w:i/>
          <w:iCs/>
        </w:rPr>
        <w:t xml:space="preserve">GTA VI</w:t>
      </w:r>
      <w:r>
        <w:t xml:space="preserve"> </w:t>
      </w:r>
      <w:r>
        <w:t xml:space="preserve">has already been tempered by execution and valuation sensitivity.</w:t>
      </w:r>
    </w:p>
    <w:p>
      <w:pPr>
        <w:pStyle w:val="BodyText"/>
      </w:pPr>
      <w:r>
        <w:t xml:space="preserve">Expectations nevertheless appear elevated around the full-year opportunity. Market commentary has pointed to investor expectations for FY2027 bookings above the company’s</w:t>
      </w:r>
      <w:r>
        <w:t xml:space="preserve"> </w:t>
      </w:r>
      <m:oMath>
        <m:r>
          <m:t>8.0</m:t>
        </m:r>
        <m:r>
          <m:t>b</m:t>
        </m:r>
        <m:r>
          <m:t>i</m:t>
        </m:r>
        <m:r>
          <m:t>l</m:t>
        </m:r>
        <m:r>
          <m:t>l</m:t>
        </m:r>
        <m:r>
          <m:t>i</m:t>
        </m:r>
        <m:r>
          <m:t>o</m:t>
        </m:r>
        <m:r>
          <m:t>n</m:t>
        </m:r>
        <m:r>
          <m:rPr>
            <m:sty m:val="p"/>
          </m:rPr>
          <m:t>–</m:t>
        </m:r>
      </m:oMath>
      <w:r>
        <w:t xml:space="preserve">8.2 billion guide. That creates an asymmetric setup:</w:t>
      </w:r>
    </w:p>
    <w:p>
      <w:pPr>
        <w:pStyle w:val="Compact"/>
        <w:numPr>
          <w:ilvl w:val="0"/>
          <w:numId w:val="1007"/>
        </w:numPr>
      </w:pPr>
      <w:r>
        <w:t xml:space="preserve">A</w:t>
      </w:r>
      <w:r>
        <w:t xml:space="preserve"> </w:t>
      </w:r>
      <w:r>
        <w:rPr>
          <w:b/>
          <w:bCs/>
        </w:rPr>
        <w:t xml:space="preserve">Q1 beat alone</w:t>
      </w:r>
      <w:r>
        <w:t xml:space="preserve"> </w:t>
      </w:r>
      <w:r>
        <w:t xml:space="preserve">may not be enough to move the shares materially.</w:t>
      </w:r>
    </w:p>
    <w:p>
      <w:pPr>
        <w:pStyle w:val="Compact"/>
        <w:numPr>
          <w:ilvl w:val="0"/>
          <w:numId w:val="1007"/>
        </w:numPr>
      </w:pPr>
      <w:r>
        <w:t xml:space="preserve">A reaffirmed guide without stronger commentary on preorders or GTA launch readiness could be viewed as insufficient.</w:t>
      </w:r>
    </w:p>
    <w:p>
      <w:pPr>
        <w:pStyle w:val="Compact"/>
        <w:numPr>
          <w:ilvl w:val="0"/>
          <w:numId w:val="1007"/>
        </w:numPr>
      </w:pPr>
      <w:r>
        <w:t xml:space="preserve">Conversely, a modest guide increase, improved mobile trends, or unusually confident GTA demand commentary could reinforce the case that consensus still underestimates FY2027.</w:t>
      </w:r>
    </w:p>
    <w:p>
      <w:r>
        <w:pict>
          <v:rect style="width:0;height:1.5pt" o:hralign="center" o:hrstd="t" o:hr="t"/>
        </w:pict>
      </w:r>
    </w:p>
    <w:bookmarkEnd w:id="20"/>
    <w:bookmarkStart w:id="22" w:name="what-investors-should-listen-for"/>
    <w:p>
      <w:pPr>
        <w:pStyle w:val="Heading2"/>
      </w:pPr>
      <w:r>
        <w:t xml:space="preserve">What investors should listen for</w:t>
      </w:r>
    </w:p>
    <w:bookmarkStart w:id="21" w:name="highest-priority-questions"/>
    <w:p>
      <w:pPr>
        <w:pStyle w:val="Heading3"/>
      </w:pPr>
      <w:r>
        <w:t xml:space="preserve">Highest-priority questions</w:t>
      </w:r>
    </w:p>
    <w:p>
      <w:pPr>
        <w:pStyle w:val="Compact"/>
        <w:numPr>
          <w:ilvl w:val="0"/>
          <w:numId w:val="1008"/>
        </w:numPr>
      </w:pPr>
      <w:r>
        <w:rPr>
          <w:b/>
          <w:bCs/>
        </w:rPr>
        <w:t xml:space="preserve">Does management explicitly reaffirm the November 19, 2026 release date for</w:t>
      </w:r>
      <w:r>
        <w:rPr>
          <w:b/>
          <w:bCs/>
        </w:rPr>
        <w:t xml:space="preserve"> </w:t>
      </w:r>
      <w:r>
        <w:rPr>
          <w:b/>
          <w:bCs/>
          <w:i/>
          <w:iCs/>
        </w:rPr>
        <w:t xml:space="preserve">GTA VI</w:t>
      </w:r>
      <w:r>
        <w:rPr>
          <w:b/>
          <w:bCs/>
        </w:rPr>
        <w:t xml:space="preserve">?</w:t>
      </w:r>
    </w:p>
    <w:p>
      <w:pPr>
        <w:pStyle w:val="Compact"/>
        <w:numPr>
          <w:ilvl w:val="0"/>
          <w:numId w:val="1008"/>
        </w:numPr>
      </w:pPr>
      <w:r>
        <w:rPr>
          <w:b/>
          <w:bCs/>
        </w:rPr>
        <w:t xml:space="preserve">What does it say about preorder demand, premium-edition mix, and the marketing campaign?</w:t>
      </w:r>
    </w:p>
    <w:p>
      <w:pPr>
        <w:pStyle w:val="Compact"/>
        <w:numPr>
          <w:ilvl w:val="0"/>
          <w:numId w:val="1008"/>
        </w:numPr>
      </w:pPr>
      <w:r>
        <w:rPr>
          <w:b/>
          <w:bCs/>
        </w:rPr>
        <w:t xml:space="preserve">Is FY2027 net-bookings guidance maintained, raised, or framed as conservative?</w:t>
      </w:r>
    </w:p>
    <w:p>
      <w:pPr>
        <w:pStyle w:val="Compact"/>
        <w:numPr>
          <w:ilvl w:val="0"/>
          <w:numId w:val="1008"/>
        </w:numPr>
      </w:pPr>
      <w:r>
        <w:rPr>
          <w:b/>
          <w:bCs/>
        </w:rPr>
        <w:t xml:space="preserve">Are mobile trends tracking in line with the guided decline, better than expected, or deteriorating?</w:t>
      </w:r>
    </w:p>
    <w:p>
      <w:pPr>
        <w:pStyle w:val="Compact"/>
        <w:numPr>
          <w:ilvl w:val="0"/>
          <w:numId w:val="1008"/>
        </w:numPr>
      </w:pPr>
      <w:r>
        <w:rPr>
          <w:b/>
          <w:bCs/>
        </w:rPr>
        <w:t xml:space="preserve">Does recurrent consumer spending perform better than the guided ~3% Q1 decline?</w:t>
      </w:r>
    </w:p>
    <w:p>
      <w:pPr>
        <w:pStyle w:val="Compact"/>
        <w:numPr>
          <w:ilvl w:val="0"/>
          <w:numId w:val="1008"/>
        </w:numPr>
      </w:pPr>
      <w:r>
        <w:rPr>
          <w:b/>
          <w:bCs/>
        </w:rPr>
        <w:t xml:space="preserve">Is NBA 2K engagement holding up ahead of the September</w:t>
      </w:r>
      <w:r>
        <w:rPr>
          <w:b/>
          <w:bCs/>
        </w:rPr>
        <w:t xml:space="preserve"> </w:t>
      </w:r>
      <w:r>
        <w:rPr>
          <w:b/>
          <w:bCs/>
          <w:i/>
          <w:iCs/>
        </w:rPr>
        <w:t xml:space="preserve">NBA 2K27</w:t>
      </w:r>
      <w:r>
        <w:rPr>
          <w:b/>
          <w:bCs/>
        </w:rPr>
        <w:t xml:space="preserve"> </w:t>
      </w:r>
      <w:r>
        <w:rPr>
          <w:b/>
          <w:bCs/>
        </w:rPr>
        <w:t xml:space="preserve">release?</w:t>
      </w:r>
    </w:p>
    <w:p>
      <w:pPr>
        <w:pStyle w:val="Compact"/>
        <w:numPr>
          <w:ilvl w:val="0"/>
          <w:numId w:val="1008"/>
        </w:numPr>
      </w:pPr>
      <w:r>
        <w:rPr>
          <w:b/>
          <w:bCs/>
        </w:rPr>
        <w:t xml:space="preserve">Are operating expenses and marketing spending progressing in line with the plan for GTA VI?</w:t>
      </w:r>
    </w:p>
    <w:p>
      <w:pPr>
        <w:pStyle w:val="Compact"/>
        <w:numPr>
          <w:ilvl w:val="0"/>
          <w:numId w:val="1008"/>
        </w:numPr>
      </w:pPr>
      <w:r>
        <w:rPr>
          <w:b/>
          <w:bCs/>
        </w:rPr>
        <w:t xml:space="preserve">Does management offer any incremental indication on GTA VI’s online, PC, or post-launch monetization strategy?</w:t>
      </w:r>
    </w:p>
    <w:p>
      <w:r>
        <w:pict>
          <v:rect style="width:0;height:1.5pt" o:hralign="center" o:hrstd="t" o:hr="t"/>
        </w:pict>
      </w:r>
    </w:p>
    <w:bookmarkEnd w:id="21"/>
    <w:bookmarkEnd w:id="22"/>
    <w:bookmarkStart w:id="23" w:name="bottom-line"/>
    <w:p>
      <w:pPr>
        <w:pStyle w:val="Heading2"/>
      </w:pPr>
      <w:r>
        <w:t xml:space="preserve">Bottom line</w:t>
      </w:r>
    </w:p>
    <w:p>
      <w:pPr>
        <w:pStyle w:val="FirstParagraph"/>
      </w:pPr>
      <w:r>
        <w:t xml:space="preserve">TTWO’s Q1 is likely to be a</w:t>
      </w:r>
      <w:r>
        <w:t xml:space="preserve"> </w:t>
      </w:r>
      <w:r>
        <w:rPr>
          <w:b/>
          <w:bCs/>
        </w:rPr>
        <w:t xml:space="preserve">low-growth, pre-GTA quarter by design</w:t>
      </w:r>
      <w:r>
        <w:t xml:space="preserve">. A small bookings beat or miss should matter less than the quality of the forward indicators. The investment case hinges on three propositions:</w:t>
      </w:r>
    </w:p>
    <w:p>
      <w:pPr>
        <w:pStyle w:val="Compact"/>
        <w:numPr>
          <w:ilvl w:val="0"/>
          <w:numId w:val="1009"/>
        </w:numPr>
      </w:pPr>
      <w:r>
        <w:rPr>
          <w:b/>
          <w:bCs/>
          <w:i/>
          <w:iCs/>
        </w:rPr>
        <w:t xml:space="preserve">GTA VI</w:t>
      </w:r>
      <w:r>
        <w:rPr>
          <w:b/>
          <w:bCs/>
        </w:rPr>
        <w:t xml:space="preserve"> </w:t>
      </w:r>
      <w:r>
        <w:rPr>
          <w:b/>
          <w:bCs/>
        </w:rPr>
        <w:t xml:space="preserve">remains firmly on track for November 19;</w:t>
      </w:r>
    </w:p>
    <w:p>
      <w:pPr>
        <w:pStyle w:val="Compact"/>
        <w:numPr>
          <w:ilvl w:val="0"/>
          <w:numId w:val="1009"/>
        </w:numPr>
      </w:pPr>
      <w:r>
        <w:rPr>
          <w:b/>
          <w:bCs/>
        </w:rPr>
        <w:t xml:space="preserve">the</w:t>
      </w:r>
      <w:r>
        <w:rPr>
          <w:b/>
          <w:bCs/>
        </w:rPr>
        <w:t xml:space="preserve"> </w:t>
      </w:r>
      <m:oMath>
        <m:r>
          <m:t>8.0</m:t>
        </m:r>
        <m:r>
          <m:t>b</m:t>
        </m:r>
        <m:r>
          <m:t>i</m:t>
        </m:r>
        <m:r>
          <m:t>l</m:t>
        </m:r>
        <m:r>
          <m:t>l</m:t>
        </m:r>
        <m:r>
          <m:t>i</m:t>
        </m:r>
        <m:r>
          <m:t>o</m:t>
        </m:r>
        <m:r>
          <m:t>n</m:t>
        </m:r>
        <m:r>
          <m:rPr>
            <m:sty m:val="p"/>
          </m:rPr>
          <m:t>–</m:t>
        </m:r>
      </m:oMath>
      <w:r>
        <w:rPr>
          <w:b/>
          <w:bCs/>
        </w:rPr>
        <w:t xml:space="preserve">8.2 billion FY2027 bookings guide has upside; and</w:t>
      </w:r>
    </w:p>
    <w:p>
      <w:pPr>
        <w:pStyle w:val="Compact"/>
        <w:numPr>
          <w:ilvl w:val="0"/>
          <w:numId w:val="1009"/>
        </w:numPr>
      </w:pPr>
      <w:r>
        <w:rPr>
          <w:b/>
          <w:bCs/>
        </w:rPr>
        <w:t xml:space="preserve">the mobile and annualized-franchise base remains durable enough to make the post-launch earnings step-up sustainable.</w:t>
      </w:r>
    </w:p>
    <w:p>
      <w:pPr>
        <w:pStyle w:val="FirstParagraph"/>
      </w:pPr>
      <w:r>
        <w:t xml:space="preserve">The most constructive outcome would be in-line-to-better Q1 bookings, stable mobile commentary, a firm GTA launch-date reaffirmation, healthy preorder/premium-edition commentary, and either an FY2027 guide raise or clear language that the initial outlook remains deliberately conservative. The principal downside scenario is not a modest Q1 shortfall—it is any sign of GTA timing risk, weaker-than-expected mobile monetization, or reluctance to stand behind the full-year guide.</w:t>
      </w:r>
    </w:p>
    <w:p>
      <w:pPr>
        <w:pStyle w:val="BodyText"/>
      </w:pPr>
      <w:r>
        <w:rPr>
          <w:i/>
          <w:iCs/>
        </w:rPr>
        <w:t xml:space="preserve">Sources: Take-Two FY2026 Q4 earnings release and earnings-call transcript (May 21, 2026); Take-Two FY2026 Form 10-K; Reuters reporting on GTA VI pricing and preorders (June 24, 2026); TTWO historical closing-price data through August 6, 2026.</w:t>
      </w:r>
    </w:p>
    <w:bookmarkEnd w:id="23"/>
    <w:bookmarkEnd w:id="2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9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2026-08-07T00:02:49Z</dcterms:created>
  <dcterms:modified xsi:type="dcterms:W3CDTF">2026-08-07T00:02:49Z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