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Take-Two Interactive Software, Inc. (TTWO)</w:t>
      </w:r>
    </w:p>
    <w:p>
      <w:r>
        <w:rPr>
          <w:rFonts w:ascii="Calibri" w:hAnsi="Calibri"/>
          <w:color w:val="525866"/>
          <w:sz w:val="22"/>
        </w:rPr>
        <w:t>Earnings Preview  |  Q1 FY2027 (Quarter Ending June 30, 2026)  |  Report Date: August 7, 2026  |  Prepared: August 6, 2026</w:t>
      </w:r>
    </w:p>
    <w:p>
      <w:pPr>
        <w:pStyle w:val="Heading2"/>
      </w:pPr>
      <w:r>
        <w:rPr>
          <w:rFonts w:ascii="Calibri" w:hAnsi="Calibri"/>
          <w:b/>
          <w:color w:val="3B4259"/>
          <w:sz w:val="28"/>
        </w:rPr>
        <w:t>Earnings Preview</w:t>
      </w:r>
    </w:p>
    <w:p>
      <w:r>
        <w:rPr>
          <w:rFonts w:ascii="Calibri" w:hAnsi="Calibri"/>
          <w:b/>
          <w:color w:val="525866"/>
          <w:sz w:val="22"/>
        </w:rPr>
        <w:t xml:space="preserve">Key Takeaway: </w:t>
      </w:r>
      <w:r>
        <w:rPr>
          <w:rFonts w:ascii="Calibri" w:hAnsi="Calibri"/>
          <w:color w:val="525866"/>
          <w:sz w:val="22"/>
        </w:rPr>
        <w:t>The setup into Q1 FY2027 is a low-bar quarter with consensus expecting a ~4% YoY decline in net bookings — the real story is whether GTA VI pre-order momentum and NBA 2K engagement can offset guided mobile softness and deliver a modest beat that keeps the FY2027 record-bookings narrative intact.</w:t>
      </w:r>
    </w:p>
    <w:p>
      <w:r>
        <w:rPr>
          <w:rFonts w:ascii="Calibri" w:hAnsi="Calibri"/>
          <w:color w:val="525866"/>
          <w:sz w:val="22"/>
        </w:rPr>
        <w:t>Take-Two heads into its Q1 FY2027 print with management having set a deliberately conservative bar: net bookings guidance of $1.32–$1.37B implies a ~4% YoY decline versus the $1.42B reported in Q1 FY2026, driven by guided declines in mobile RCS and GTA Online recurrent spending against a tough prior-year comparison. Consensus at ~$1.36B sits near the top of the guidance range, leaving limited room for a meaningful beat on the headline unless mobile outperforms or NBA 2K's high-single-digit RCS growth assumption proves conservative — both of which have happened repeatedly in recent quarters. Management's tone since the May 21 earnings call has been one of execution certainty rather than aspiration: the November 19 GTA VI launch date is locked, pre-orders opened June 25 and are tracking as the strongest ever recorded per Newzoo estimates, and the marketing campaign is now live. The stock has given back roughly 2% since the Q4 print while the S&amp;P 500 is up ~4%, suggesting the market is in a 'show me' mode ahead of the GTA VI launch rather than pricing in a Q1 beat. The single biggest wildcard is any incremental GTA VI pre-order data or sell-through signal that management may reference on the call — even qualitative commentary on pre-order trajectory could move the stock more than the Q1 numbers themselves.</w:t>
      </w:r>
    </w:p>
    <w:p>
      <w:pPr>
        <w:pStyle w:val="Heading2"/>
      </w:pPr>
      <w:r>
        <w:rPr>
          <w:rFonts w:ascii="Calibri" w:hAnsi="Calibri"/>
          <w:b/>
          <w:color w:val="3B4259"/>
          <w:sz w:val="28"/>
        </w:rPr>
        <w:t>KPIs &amp; Consensus Expectations</w:t>
      </w:r>
    </w:p>
    <w:p>
      <w:r>
        <w:rPr>
          <w:rFonts w:ascii="Calibri" w:hAnsi="Calibri"/>
          <w:b/>
          <w:color w:val="525866"/>
          <w:sz w:val="22"/>
        </w:rPr>
        <w:t xml:space="preserve">Key Takeaway: </w:t>
      </w:r>
      <w:r>
        <w:rPr>
          <w:rFonts w:ascii="Calibri" w:hAnsi="Calibri"/>
          <w:color w:val="525866"/>
          <w:sz w:val="22"/>
        </w:rPr>
        <w:t>Consensus is a low bar on net bookings (guided down ~4% YoY) but RCS is the bigger swing factor — mobile RCS has beaten expectations in each of the last four quarters, and any upside there would be the primary driver of a beat.</w:t>
      </w:r>
    </w:p>
    <w:p>
      <w:pPr>
        <w:pStyle w:val="Heading3"/>
      </w:pPr>
      <w:r>
        <w:rPr>
          <w:rFonts w:ascii="Calibri" w:hAnsi="Calibri"/>
          <w:b/>
          <w:color w:val="3B4259"/>
          <w:sz w:val="24"/>
        </w:rPr>
        <w:t>Table 1 — Q1 FY2027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(Q4 FY2026)</w:t>
            </w:r>
          </w:p>
        </w:tc>
        <w:tc>
          <w:tcPr>
            <w:tcW w:type="dxa" w:w="1234"/>
            <w:shd w:val="clear" w:color="auto" w:fill="3B4259"/>
          </w:tcPr>
          <w:p>
            <w:r>
              <w:rPr>
                <w:rFonts w:ascii="Calibri" w:hAnsi="Calibri"/>
                <w:b/>
                <w:color w:val="FFFFFF"/>
                <w:sz w:val="22"/>
              </w:rPr>
              <w:t>Prior Year Period (Q1 FY2026 Actual)</w:t>
            </w:r>
          </w:p>
        </w:tc>
        <w:tc>
          <w:tcPr>
            <w:tcW w:type="dxa" w:w="1234"/>
            <w:shd w:val="clear" w:color="auto" w:fill="3B4259"/>
          </w:tcPr>
          <w:p>
            <w:r>
              <w:rPr>
                <w:rFonts w:ascii="Calibri" w:hAnsi="Calibri"/>
                <w:b/>
                <w:color w:val="FFFFFF"/>
                <w:sz w:val="22"/>
              </w:rPr>
              <w:t>Consensus Estimate (Q1 FY2027)</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(Q1 FY2027)</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Bookings</w:t>
            </w:r>
          </w:p>
        </w:tc>
        <w:tc>
          <w:tcPr>
            <w:tcW w:type="dxa" w:w="1234"/>
          </w:tcPr>
          <w:p>
            <w:r>
              <w:rPr>
                <w:rFonts w:ascii="Calibri" w:hAnsi="Calibri"/>
                <w:sz w:val="22"/>
              </w:rPr>
              <w:t>$1,580M</w:t>
            </w:r>
          </w:p>
        </w:tc>
        <w:tc>
          <w:tcPr>
            <w:tcW w:type="dxa" w:w="1234"/>
          </w:tcPr>
          <w:p>
            <w:r>
              <w:rPr>
                <w:rFonts w:ascii="Calibri" w:hAnsi="Calibri"/>
                <w:sz w:val="22"/>
              </w:rPr>
              <w:t>$1,423M</w:t>
            </w:r>
          </w:p>
        </w:tc>
        <w:tc>
          <w:tcPr>
            <w:tcW w:type="dxa" w:w="1234"/>
          </w:tcPr>
          <w:p>
            <w:r>
              <w:rPr>
                <w:rFonts w:ascii="Calibri" w:hAnsi="Calibri"/>
                <w:sz w:val="22"/>
              </w:rPr>
              <w:t>$1,363M</w:t>
            </w:r>
          </w:p>
        </w:tc>
        <w:tc>
          <w:tcPr>
            <w:tcW w:type="dxa" w:w="1234"/>
          </w:tcPr>
          <w:p>
            <w:r>
              <w:rPr>
                <w:rFonts w:ascii="Calibri" w:hAnsi="Calibri"/>
                <w:b/>
                <w:color w:val="E5484D"/>
                <w:sz w:val="22"/>
              </w:rPr>
              <w:t>-4.2%</w:t>
            </w:r>
          </w:p>
        </w:tc>
        <w:tc>
          <w:tcPr>
            <w:tcW w:type="dxa" w:w="1234"/>
          </w:tcPr>
          <w:p>
            <w:r>
              <w:rPr>
                <w:rFonts w:ascii="Calibri" w:hAnsi="Calibri"/>
                <w:sz w:val="22"/>
              </w:rPr>
              <w:t>$1,320M–$1,370M</w:t>
            </w:r>
          </w:p>
        </w:tc>
        <w:tc>
          <w:tcPr>
            <w:tcW w:type="dxa" w:w="1234"/>
          </w:tcPr>
          <w:p>
            <w:r>
              <w:rPr>
                <w:rFonts w:ascii="Calibri" w:hAnsi="Calibri"/>
                <w:sz w:val="22"/>
              </w:rPr>
              <w:t>+0.2% vs. $1,345M mid</w:t>
            </w:r>
          </w:p>
        </w:tc>
      </w:tr>
      <w:tr>
        <w:tc>
          <w:tcPr>
            <w:tcW w:type="dxa" w:w="1234"/>
          </w:tcPr>
          <w:p>
            <w:r>
              <w:rPr>
                <w:rFonts w:ascii="Calibri" w:hAnsi="Calibri"/>
                <w:sz w:val="22"/>
              </w:rPr>
              <w:t>Recurrent Consumer Spending (RCS)</w:t>
            </w:r>
          </w:p>
        </w:tc>
        <w:tc>
          <w:tcPr>
            <w:tcW w:type="dxa" w:w="1234"/>
          </w:tcPr>
          <w:p>
            <w:r>
              <w:rPr>
                <w:rFonts w:ascii="Calibri" w:hAnsi="Calibri"/>
                <w:sz w:val="22"/>
              </w:rPr>
              <w:t>$1,361M</w:t>
            </w:r>
          </w:p>
        </w:tc>
        <w:tc>
          <w:tcPr>
            <w:tcW w:type="dxa" w:w="1234"/>
          </w:tcPr>
          <w:p>
            <w:r>
              <w:rPr>
                <w:rFonts w:ascii="Calibri" w:hAnsi="Calibri"/>
                <w:sz w:val="22"/>
              </w:rPr>
              <w:t>$1,256M</w:t>
            </w:r>
          </w:p>
        </w:tc>
        <w:tc>
          <w:tcPr>
            <w:tcW w:type="dxa" w:w="1234"/>
          </w:tcPr>
          <w:p>
            <w:r>
              <w:rPr>
                <w:rFonts w:ascii="Calibri" w:hAnsi="Calibri"/>
                <w:sz w:val="22"/>
              </w:rPr>
              <w:t>$1,182M</w:t>
            </w:r>
          </w:p>
        </w:tc>
        <w:tc>
          <w:tcPr>
            <w:tcW w:type="dxa" w:w="1234"/>
          </w:tcPr>
          <w:p>
            <w:r>
              <w:rPr>
                <w:rFonts w:ascii="Calibri" w:hAnsi="Calibri"/>
                <w:b/>
                <w:color w:val="E5484D"/>
                <w:sz w:val="22"/>
              </w:rPr>
              <w:t>-5.9%</w:t>
            </w:r>
          </w:p>
        </w:tc>
        <w:tc>
          <w:tcPr>
            <w:tcW w:type="dxa" w:w="1234"/>
          </w:tcPr>
          <w:p>
            <w:r>
              <w:rPr>
                <w:rFonts w:ascii="Calibri" w:hAnsi="Calibri"/>
                <w:sz w:val="22"/>
              </w:rPr>
              <w:t>~-3% YoY (implied ~$1,218M)</w:t>
            </w:r>
          </w:p>
        </w:tc>
        <w:tc>
          <w:tcPr>
            <w:tcW w:type="dxa" w:w="1234"/>
          </w:tcPr>
          <w:p>
            <w:r>
              <w:rPr>
                <w:rFonts w:ascii="Calibri" w:hAnsi="Calibri"/>
                <w:sz w:val="22"/>
              </w:rPr>
              <w:t>-3.0% vs. guidance implied mid</w:t>
            </w:r>
          </w:p>
        </w:tc>
      </w:tr>
      <w:tr>
        <w:tc>
          <w:tcPr>
            <w:tcW w:type="dxa" w:w="1234"/>
          </w:tcPr>
          <w:p>
            <w:r>
              <w:rPr>
                <w:rFonts w:ascii="Calibri" w:hAnsi="Calibri"/>
                <w:sz w:val="22"/>
              </w:rPr>
              <w:t>Mobile Net Bookings</w:t>
            </w:r>
          </w:p>
        </w:tc>
        <w:tc>
          <w:tcPr>
            <w:tcW w:type="dxa" w:w="1234"/>
          </w:tcPr>
          <w:p>
            <w:r>
              <w:rPr>
                <w:rFonts w:ascii="Calibri" w:hAnsi="Calibri"/>
                <w:sz w:val="22"/>
              </w:rPr>
              <w:t>$829M</w:t>
            </w:r>
          </w:p>
        </w:tc>
        <w:tc>
          <w:tcPr>
            <w:tcW w:type="dxa" w:w="1234"/>
          </w:tcPr>
          <w:p>
            <w:r>
              <w:rPr>
                <w:rFonts w:ascii="Calibri" w:hAnsi="Calibri"/>
                <w:sz w:val="22"/>
              </w:rPr>
              <w:t>$793M</w:t>
            </w:r>
          </w:p>
        </w:tc>
        <w:tc>
          <w:tcPr>
            <w:tcW w:type="dxa" w:w="1234"/>
          </w:tcPr>
          <w:p>
            <w:r>
              <w:rPr>
                <w:rFonts w:ascii="Calibri" w:hAnsi="Calibri"/>
                <w:sz w:val="22"/>
              </w:rPr>
              <w:t>$758M</w:t>
            </w:r>
          </w:p>
        </w:tc>
        <w:tc>
          <w:tcPr>
            <w:tcW w:type="dxa" w:w="1234"/>
          </w:tcPr>
          <w:p>
            <w:r>
              <w:rPr>
                <w:rFonts w:ascii="Calibri" w:hAnsi="Calibri"/>
                <w:b/>
                <w:color w:val="E5484D"/>
                <w:sz w:val="22"/>
              </w:rPr>
              <w:t>-4.4%</w:t>
            </w:r>
          </w:p>
        </w:tc>
        <w:tc>
          <w:tcPr>
            <w:tcW w:type="dxa" w:w="1234"/>
          </w:tcPr>
          <w:p>
            <w:r>
              <w:rPr>
                <w:rFonts w:ascii="Calibri" w:hAnsi="Calibri"/>
                <w:sz w:val="22"/>
              </w:rPr>
              <w:t>Down YoY (no specific range)</w:t>
            </w:r>
          </w:p>
        </w:tc>
        <w:tc>
          <w:tcPr>
            <w:tcW w:type="dxa" w:w="1234"/>
          </w:tcPr>
          <w:p>
            <w:r>
              <w:rPr>
                <w:rFonts w:ascii="Calibri" w:hAnsi="Calibri"/>
                <w:sz w:val="22"/>
              </w:rPr>
              <w:t>N/A — no specific guidance</w:t>
            </w:r>
          </w:p>
        </w:tc>
      </w:tr>
      <w:tr>
        <w:tc>
          <w:tcPr>
            <w:tcW w:type="dxa" w:w="1234"/>
          </w:tcPr>
          <w:p>
            <w:r>
              <w:rPr>
                <w:rFonts w:ascii="Calibri" w:hAnsi="Calibri"/>
                <w:sz w:val="22"/>
              </w:rPr>
              <w:t>Non-Recurrent Consumer Spending</w:t>
            </w:r>
          </w:p>
        </w:tc>
        <w:tc>
          <w:tcPr>
            <w:tcW w:type="dxa" w:w="1234"/>
          </w:tcPr>
          <w:p>
            <w:r>
              <w:rPr>
                <w:rFonts w:ascii="Calibri" w:hAnsi="Calibri"/>
                <w:sz w:val="22"/>
              </w:rPr>
              <w:t>$244M</w:t>
            </w:r>
          </w:p>
        </w:tc>
        <w:tc>
          <w:tcPr>
            <w:tcW w:type="dxa" w:w="1234"/>
          </w:tcPr>
          <w:p>
            <w:r>
              <w:rPr>
                <w:rFonts w:ascii="Calibri" w:hAnsi="Calibri"/>
                <w:sz w:val="22"/>
              </w:rPr>
              <w:t>$224M</w:t>
            </w:r>
          </w:p>
        </w:tc>
        <w:tc>
          <w:tcPr>
            <w:tcW w:type="dxa" w:w="1234"/>
          </w:tcPr>
          <w:p>
            <w:r>
              <w:rPr>
                <w:rFonts w:ascii="Calibri" w:hAnsi="Calibri"/>
                <w:sz w:val="22"/>
              </w:rPr>
              <w:t>$170M</w:t>
            </w:r>
          </w:p>
        </w:tc>
        <w:tc>
          <w:tcPr>
            <w:tcW w:type="dxa" w:w="1234"/>
          </w:tcPr>
          <w:p>
            <w:r>
              <w:rPr>
                <w:rFonts w:ascii="Calibri" w:hAnsi="Calibri"/>
                <w:b/>
                <w:color w:val="E5484D"/>
                <w:sz w:val="22"/>
              </w:rPr>
              <w:t>-24.1%</w:t>
            </w:r>
          </w:p>
        </w:tc>
        <w:tc>
          <w:tcPr>
            <w:tcW w:type="dxa" w:w="1234"/>
          </w:tcPr>
          <w:p>
            <w:r>
              <w:rPr>
                <w:rFonts w:ascii="Calibri" w:hAnsi="Calibri"/>
                <w:sz w:val="22"/>
              </w:rPr>
              <w:t>N/A — no specific guidance</w:t>
            </w:r>
          </w:p>
        </w:tc>
        <w:tc>
          <w:tcPr>
            <w:tcW w:type="dxa" w:w="1234"/>
          </w:tcPr>
          <w:p>
            <w:r>
              <w:rPr>
                <w:rFonts w:ascii="Calibri" w:hAnsi="Calibri"/>
                <w:sz w:val="22"/>
              </w:rPr>
              <w:t>N/A</w:t>
            </w:r>
          </w:p>
        </w:tc>
      </w:tr>
      <w:tr>
        <w:tc>
          <w:tcPr>
            <w:tcW w:type="dxa" w:w="1234"/>
          </w:tcPr>
          <w:p>
            <w:r>
              <w:rPr>
                <w:rFonts w:ascii="Calibri" w:hAnsi="Calibri"/>
                <w:sz w:val="22"/>
              </w:rPr>
              <w:t>Operating Income (Mgmt. Basis)</w:t>
            </w:r>
          </w:p>
        </w:tc>
        <w:tc>
          <w:tcPr>
            <w:tcW w:type="dxa" w:w="1234"/>
          </w:tcPr>
          <w:p>
            <w:r>
              <w:rPr>
                <w:rFonts w:ascii="Calibri" w:hAnsi="Calibri"/>
                <w:sz w:val="22"/>
              </w:rPr>
              <w:t>$198M</w:t>
            </w:r>
          </w:p>
        </w:tc>
        <w:tc>
          <w:tcPr>
            <w:tcW w:type="dxa" w:w="1234"/>
          </w:tcPr>
          <w:p>
            <w:r>
              <w:rPr>
                <w:rFonts w:ascii="Calibri" w:hAnsi="Calibri"/>
                <w:sz w:val="22"/>
              </w:rPr>
              <w:t>$167M</w:t>
            </w:r>
          </w:p>
        </w:tc>
        <w:tc>
          <w:tcPr>
            <w:tcW w:type="dxa" w:w="1234"/>
          </w:tcPr>
          <w:p>
            <w:r>
              <w:rPr>
                <w:rFonts w:ascii="Calibri" w:hAnsi="Calibri"/>
                <w:sz w:val="22"/>
              </w:rPr>
              <w:t>$88M</w:t>
            </w:r>
          </w:p>
        </w:tc>
        <w:tc>
          <w:tcPr>
            <w:tcW w:type="dxa" w:w="1234"/>
          </w:tcPr>
          <w:p>
            <w:r>
              <w:rPr>
                <w:rFonts w:ascii="Calibri" w:hAnsi="Calibri"/>
                <w:b/>
                <w:color w:val="E5484D"/>
                <w:sz w:val="22"/>
              </w:rPr>
              <w:t>-47.3%</w:t>
            </w:r>
          </w:p>
        </w:tc>
        <w:tc>
          <w:tcPr>
            <w:tcW w:type="dxa" w:w="1234"/>
          </w:tcPr>
          <w:p>
            <w:r>
              <w:rPr>
                <w:rFonts w:ascii="Calibri" w:hAnsi="Calibri"/>
                <w:sz w:val="22"/>
              </w:rPr>
              <w:t>Opex +3% YoY (mgmt. basis)</w:t>
            </w:r>
          </w:p>
        </w:tc>
        <w:tc>
          <w:tcPr>
            <w:tcW w:type="dxa" w:w="1234"/>
          </w:tcPr>
          <w:p>
            <w:r>
              <w:rPr>
                <w:rFonts w:ascii="Calibri" w:hAnsi="Calibri"/>
                <w:sz w:val="22"/>
              </w:rPr>
              <w:t>N/A — no direct guidance</w:t>
            </w:r>
          </w:p>
        </w:tc>
      </w:tr>
      <w:tr>
        <w:tc>
          <w:tcPr>
            <w:tcW w:type="dxa" w:w="1234"/>
          </w:tcPr>
          <w:p>
            <w:r>
              <w:rPr>
                <w:rFonts w:ascii="Calibri" w:hAnsi="Calibri"/>
                <w:sz w:val="22"/>
              </w:rPr>
              <w:t>EPS — Diluted Operating</w:t>
            </w:r>
          </w:p>
        </w:tc>
        <w:tc>
          <w:tcPr>
            <w:tcW w:type="dxa" w:w="1234"/>
          </w:tcPr>
          <w:p>
            <w:r>
              <w:rPr>
                <w:rFonts w:ascii="Calibri" w:hAnsi="Calibri"/>
                <w:sz w:val="22"/>
              </w:rPr>
              <w:t>$0.80</w:t>
            </w:r>
          </w:p>
        </w:tc>
        <w:tc>
          <w:tcPr>
            <w:tcW w:type="dxa" w:w="1234"/>
          </w:tcPr>
          <w:p>
            <w:r>
              <w:rPr>
                <w:rFonts w:ascii="Calibri" w:hAnsi="Calibri"/>
                <w:sz w:val="22"/>
              </w:rPr>
              <w:t>$0.61</w:t>
            </w:r>
          </w:p>
        </w:tc>
        <w:tc>
          <w:tcPr>
            <w:tcW w:type="dxa" w:w="1234"/>
          </w:tcPr>
          <w:p>
            <w:r>
              <w:rPr>
                <w:rFonts w:ascii="Calibri" w:hAnsi="Calibri"/>
                <w:sz w:val="22"/>
              </w:rPr>
              <w:t>$0.33</w:t>
            </w:r>
          </w:p>
        </w:tc>
        <w:tc>
          <w:tcPr>
            <w:tcW w:type="dxa" w:w="1234"/>
          </w:tcPr>
          <w:p>
            <w:r>
              <w:rPr>
                <w:rFonts w:ascii="Calibri" w:hAnsi="Calibri"/>
                <w:b/>
                <w:color w:val="E5484D"/>
                <w:sz w:val="22"/>
              </w:rPr>
              <w:t>-45.9%</w:t>
            </w:r>
          </w:p>
        </w:tc>
        <w:tc>
          <w:tcPr>
            <w:tcW w:type="dxa" w:w="1234"/>
          </w:tcPr>
          <w:p>
            <w:r>
              <w:rPr>
                <w:rFonts w:ascii="Calibri" w:hAnsi="Calibri"/>
                <w:sz w:val="22"/>
              </w:rPr>
              <w:t>N/A — no EPS guidance</w:t>
            </w:r>
          </w:p>
        </w:tc>
        <w:tc>
          <w:tcPr>
            <w:tcW w:type="dxa" w:w="1234"/>
          </w:tcPr>
          <w:p>
            <w:r>
              <w:rPr>
                <w:rFonts w:ascii="Calibri" w:hAnsi="Calibri"/>
                <w:sz w:val="22"/>
              </w:rPr>
              <w:t>N/A</w:t>
            </w:r>
          </w:p>
        </w:tc>
      </w:tr>
    </w:tbl>
    <w:p>
      <w:r>
        <w:rPr>
          <w:rFonts w:ascii="Calibri" w:hAnsi="Calibri"/>
          <w:i/>
          <w:color w:val="525866"/>
          <w:sz w:val="22"/>
        </w:rPr>
        <w:t>Sources: Visible Alpha consensus and actuals data. Net Bookings consensus $1,363M; RCS consensus $1,182M; Mobile Net Bookings consensus $758M; EPS Diluted Operating consensus $0.33. All actuals from Visible Alpha. Guidance from Q4 FY2026 earnings call (May 21, 2026).</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Q4 FY2026</w:t>
            </w:r>
          </w:p>
        </w:tc>
        <w:tc>
          <w:tcPr>
            <w:tcW w:type="dxa" w:w="1440"/>
          </w:tcPr>
          <w:p>
            <w:r>
              <w:rPr>
                <w:rFonts w:ascii="Calibri" w:hAnsi="Calibri"/>
                <w:sz w:val="22"/>
              </w:rPr>
              <w:t>Net Bookings</w:t>
            </w:r>
          </w:p>
        </w:tc>
        <w:tc>
          <w:tcPr>
            <w:tcW w:type="dxa" w:w="1440"/>
          </w:tcPr>
          <w:p>
            <w:r>
              <w:rPr>
                <w:rFonts w:ascii="Calibri" w:hAnsi="Calibri"/>
                <w:sz w:val="22"/>
              </w:rPr>
              <w:t>$1,580M</w:t>
            </w:r>
          </w:p>
        </w:tc>
        <w:tc>
          <w:tcPr>
            <w:tcW w:type="dxa" w:w="1440"/>
          </w:tcPr>
          <w:p>
            <w:r>
              <w:rPr>
                <w:rFonts w:ascii="Calibri" w:hAnsi="Calibri"/>
                <w:sz w:val="22"/>
              </w:rPr>
              <w:t>$1,555M</w:t>
            </w:r>
          </w:p>
        </w:tc>
        <w:tc>
          <w:tcPr>
            <w:tcW w:type="dxa" w:w="1440"/>
          </w:tcPr>
          <w:p>
            <w:r>
              <w:rPr>
                <w:rFonts w:ascii="Calibri" w:hAnsi="Calibri"/>
                <w:b/>
                <w:color w:val="30A46C"/>
                <w:sz w:val="22"/>
              </w:rPr>
              <w:t>+1.6%</w:t>
            </w:r>
          </w:p>
        </w:tc>
        <w:tc>
          <w:tcPr>
            <w:tcW w:type="dxa" w:w="1440"/>
          </w:tcPr>
          <w:p>
            <w:r>
              <w:rPr>
                <w:rFonts w:ascii="Calibri" w:hAnsi="Calibri"/>
                <w:sz w:val="22"/>
              </w:rPr>
              <w:t>Beat</w:t>
            </w:r>
          </w:p>
        </w:tc>
      </w:tr>
      <w:tr>
        <w:tc>
          <w:tcPr>
            <w:tcW w:type="dxa" w:w="1440"/>
          </w:tcPr>
          <w:p>
            <w:r>
              <w:rPr>
                <w:rFonts w:ascii="Calibri" w:hAnsi="Calibri"/>
                <w:sz w:val="22"/>
              </w:rPr>
              <w:t>Q4 FY2026</w:t>
            </w:r>
          </w:p>
        </w:tc>
        <w:tc>
          <w:tcPr>
            <w:tcW w:type="dxa" w:w="1440"/>
          </w:tcPr>
          <w:p>
            <w:r>
              <w:rPr>
                <w:rFonts w:ascii="Calibri" w:hAnsi="Calibri"/>
                <w:sz w:val="22"/>
              </w:rPr>
              <w:t>RCS</w:t>
            </w:r>
          </w:p>
        </w:tc>
        <w:tc>
          <w:tcPr>
            <w:tcW w:type="dxa" w:w="1440"/>
          </w:tcPr>
          <w:p>
            <w:r>
              <w:rPr>
                <w:rFonts w:ascii="Calibri" w:hAnsi="Calibri"/>
                <w:sz w:val="22"/>
              </w:rPr>
              <w:t>$1,361M</w:t>
            </w:r>
          </w:p>
        </w:tc>
        <w:tc>
          <w:tcPr>
            <w:tcW w:type="dxa" w:w="1440"/>
          </w:tcPr>
          <w:p>
            <w:r>
              <w:rPr>
                <w:rFonts w:ascii="Calibri" w:hAnsi="Calibri"/>
                <w:sz w:val="22"/>
              </w:rPr>
              <w:t>$1,291M</w:t>
            </w:r>
          </w:p>
        </w:tc>
        <w:tc>
          <w:tcPr>
            <w:tcW w:type="dxa" w:w="1440"/>
          </w:tcPr>
          <w:p>
            <w:r>
              <w:rPr>
                <w:rFonts w:ascii="Calibri" w:hAnsi="Calibri"/>
                <w:b/>
                <w:color w:val="30A46C"/>
                <w:sz w:val="22"/>
              </w:rPr>
              <w:t>+5.4%</w:t>
            </w:r>
          </w:p>
        </w:tc>
        <w:tc>
          <w:tcPr>
            <w:tcW w:type="dxa" w:w="1440"/>
          </w:tcPr>
          <w:p>
            <w:r>
              <w:rPr>
                <w:rFonts w:ascii="Calibri" w:hAnsi="Calibri"/>
                <w:sz w:val="22"/>
              </w:rPr>
              <w:t>Beat</w:t>
            </w:r>
          </w:p>
        </w:tc>
      </w:tr>
      <w:tr>
        <w:tc>
          <w:tcPr>
            <w:tcW w:type="dxa" w:w="1440"/>
          </w:tcPr>
          <w:p>
            <w:r>
              <w:rPr>
                <w:rFonts w:ascii="Calibri" w:hAnsi="Calibri"/>
                <w:sz w:val="22"/>
              </w:rPr>
              <w:t>Q3 FY2026</w:t>
            </w:r>
          </w:p>
        </w:tc>
        <w:tc>
          <w:tcPr>
            <w:tcW w:type="dxa" w:w="1440"/>
          </w:tcPr>
          <w:p>
            <w:r>
              <w:rPr>
                <w:rFonts w:ascii="Calibri" w:hAnsi="Calibri"/>
                <w:sz w:val="22"/>
              </w:rPr>
              <w:t>Net Bookings</w:t>
            </w:r>
          </w:p>
        </w:tc>
        <w:tc>
          <w:tcPr>
            <w:tcW w:type="dxa" w:w="1440"/>
          </w:tcPr>
          <w:p>
            <w:r>
              <w:rPr>
                <w:rFonts w:ascii="Calibri" w:hAnsi="Calibri"/>
                <w:sz w:val="22"/>
              </w:rPr>
              <w:t>$1,757M</w:t>
            </w:r>
          </w:p>
        </w:tc>
        <w:tc>
          <w:tcPr>
            <w:tcW w:type="dxa" w:w="1440"/>
          </w:tcPr>
          <w:p>
            <w:r>
              <w:rPr>
                <w:rFonts w:ascii="Calibri" w:hAnsi="Calibri"/>
                <w:sz w:val="22"/>
              </w:rPr>
              <w:t>$1,580M</w:t>
            </w:r>
          </w:p>
        </w:tc>
        <w:tc>
          <w:tcPr>
            <w:tcW w:type="dxa" w:w="1440"/>
          </w:tcPr>
          <w:p>
            <w:r>
              <w:rPr>
                <w:rFonts w:ascii="Calibri" w:hAnsi="Calibri"/>
                <w:b/>
                <w:color w:val="30A46C"/>
                <w:sz w:val="22"/>
              </w:rPr>
              <w:t>+11.2%</w:t>
            </w:r>
          </w:p>
        </w:tc>
        <w:tc>
          <w:tcPr>
            <w:tcW w:type="dxa" w:w="1440"/>
          </w:tcPr>
          <w:p>
            <w:r>
              <w:rPr>
                <w:rFonts w:ascii="Calibri" w:hAnsi="Calibri"/>
                <w:sz w:val="22"/>
              </w:rPr>
              <w:t>Beat</w:t>
            </w:r>
          </w:p>
        </w:tc>
      </w:tr>
      <w:tr>
        <w:tc>
          <w:tcPr>
            <w:tcW w:type="dxa" w:w="1440"/>
          </w:tcPr>
          <w:p>
            <w:r>
              <w:rPr>
                <w:rFonts w:ascii="Calibri" w:hAnsi="Calibri"/>
                <w:sz w:val="22"/>
              </w:rPr>
              <w:t>Q3 FY2026</w:t>
            </w:r>
          </w:p>
        </w:tc>
        <w:tc>
          <w:tcPr>
            <w:tcW w:type="dxa" w:w="1440"/>
          </w:tcPr>
          <w:p>
            <w:r>
              <w:rPr>
                <w:rFonts w:ascii="Calibri" w:hAnsi="Calibri"/>
                <w:sz w:val="22"/>
              </w:rPr>
              <w:t>RCS</w:t>
            </w:r>
          </w:p>
        </w:tc>
        <w:tc>
          <w:tcPr>
            <w:tcW w:type="dxa" w:w="1440"/>
          </w:tcPr>
          <w:p>
            <w:r>
              <w:rPr>
                <w:rFonts w:ascii="Calibri" w:hAnsi="Calibri"/>
                <w:sz w:val="22"/>
              </w:rPr>
              <w:t>$1,304M</w:t>
            </w:r>
          </w:p>
        </w:tc>
        <w:tc>
          <w:tcPr>
            <w:tcW w:type="dxa" w:w="1440"/>
          </w:tcPr>
          <w:p>
            <w:r>
              <w:rPr>
                <w:rFonts w:ascii="Calibri" w:hAnsi="Calibri"/>
                <w:sz w:val="22"/>
              </w:rPr>
              <w:t>$1,198M</w:t>
            </w:r>
          </w:p>
        </w:tc>
        <w:tc>
          <w:tcPr>
            <w:tcW w:type="dxa" w:w="1440"/>
          </w:tcPr>
          <w:p>
            <w:r>
              <w:rPr>
                <w:rFonts w:ascii="Calibri" w:hAnsi="Calibri"/>
                <w:b/>
                <w:color w:val="30A46C"/>
                <w:sz w:val="22"/>
              </w:rPr>
              <w:t>+8.8%</w:t>
            </w:r>
          </w:p>
        </w:tc>
        <w:tc>
          <w:tcPr>
            <w:tcW w:type="dxa" w:w="1440"/>
          </w:tcPr>
          <w:p>
            <w:r>
              <w:rPr>
                <w:rFonts w:ascii="Calibri" w:hAnsi="Calibri"/>
                <w:sz w:val="22"/>
              </w:rPr>
              <w:t>Beat</w:t>
            </w:r>
          </w:p>
        </w:tc>
      </w:tr>
      <w:tr>
        <w:tc>
          <w:tcPr>
            <w:tcW w:type="dxa" w:w="1440"/>
          </w:tcPr>
          <w:p>
            <w:r>
              <w:rPr>
                <w:rFonts w:ascii="Calibri" w:hAnsi="Calibri"/>
                <w:sz w:val="22"/>
              </w:rPr>
              <w:t>Q2 FY2026</w:t>
            </w:r>
          </w:p>
        </w:tc>
        <w:tc>
          <w:tcPr>
            <w:tcW w:type="dxa" w:w="1440"/>
          </w:tcPr>
          <w:p>
            <w:r>
              <w:rPr>
                <w:rFonts w:ascii="Calibri" w:hAnsi="Calibri"/>
                <w:sz w:val="22"/>
              </w:rPr>
              <w:t>Net Bookings</w:t>
            </w:r>
          </w:p>
        </w:tc>
        <w:tc>
          <w:tcPr>
            <w:tcW w:type="dxa" w:w="1440"/>
          </w:tcPr>
          <w:p>
            <w:r>
              <w:rPr>
                <w:rFonts w:ascii="Calibri" w:hAnsi="Calibri"/>
                <w:sz w:val="22"/>
              </w:rPr>
              <w:t>$1,961M</w:t>
            </w:r>
          </w:p>
        </w:tc>
        <w:tc>
          <w:tcPr>
            <w:tcW w:type="dxa" w:w="1440"/>
          </w:tcPr>
          <w:p>
            <w:r>
              <w:rPr>
                <w:rFonts w:ascii="Calibri" w:hAnsi="Calibri"/>
                <w:sz w:val="22"/>
              </w:rPr>
              <w:t>$1,752M</w:t>
            </w:r>
          </w:p>
        </w:tc>
        <w:tc>
          <w:tcPr>
            <w:tcW w:type="dxa" w:w="1440"/>
          </w:tcPr>
          <w:p>
            <w:r>
              <w:rPr>
                <w:rFonts w:ascii="Calibri" w:hAnsi="Calibri"/>
                <w:b/>
                <w:color w:val="30A46C"/>
                <w:sz w:val="22"/>
              </w:rPr>
              <w:t>+11.9%</w:t>
            </w:r>
          </w:p>
        </w:tc>
        <w:tc>
          <w:tcPr>
            <w:tcW w:type="dxa" w:w="1440"/>
          </w:tcPr>
          <w:p>
            <w:r>
              <w:rPr>
                <w:rFonts w:ascii="Calibri" w:hAnsi="Calibri"/>
                <w:sz w:val="22"/>
              </w:rPr>
              <w:t>Beat</w:t>
            </w:r>
          </w:p>
        </w:tc>
      </w:tr>
      <w:tr>
        <w:tc>
          <w:tcPr>
            <w:tcW w:type="dxa" w:w="1440"/>
          </w:tcPr>
          <w:p>
            <w:r>
              <w:rPr>
                <w:rFonts w:ascii="Calibri" w:hAnsi="Calibri"/>
                <w:sz w:val="22"/>
              </w:rPr>
              <w:t>Q2 FY2026</w:t>
            </w:r>
          </w:p>
        </w:tc>
        <w:tc>
          <w:tcPr>
            <w:tcW w:type="dxa" w:w="1440"/>
          </w:tcPr>
          <w:p>
            <w:r>
              <w:rPr>
                <w:rFonts w:ascii="Calibri" w:hAnsi="Calibri"/>
                <w:sz w:val="22"/>
              </w:rPr>
              <w:t>RCS</w:t>
            </w:r>
          </w:p>
        </w:tc>
        <w:tc>
          <w:tcPr>
            <w:tcW w:type="dxa" w:w="1440"/>
          </w:tcPr>
          <w:p>
            <w:r>
              <w:rPr>
                <w:rFonts w:ascii="Calibri" w:hAnsi="Calibri"/>
                <w:sz w:val="22"/>
              </w:rPr>
              <w:t>$1,276M</w:t>
            </w:r>
          </w:p>
        </w:tc>
        <w:tc>
          <w:tcPr>
            <w:tcW w:type="dxa" w:w="1440"/>
          </w:tcPr>
          <w:p>
            <w:r>
              <w:rPr>
                <w:rFonts w:ascii="Calibri" w:hAnsi="Calibri"/>
                <w:sz w:val="22"/>
              </w:rPr>
              <w:t>$1,223M</w:t>
            </w:r>
          </w:p>
        </w:tc>
        <w:tc>
          <w:tcPr>
            <w:tcW w:type="dxa" w:w="1440"/>
          </w:tcPr>
          <w:p>
            <w:r>
              <w:rPr>
                <w:rFonts w:ascii="Calibri" w:hAnsi="Calibri"/>
                <w:b/>
                <w:color w:val="30A46C"/>
                <w:sz w:val="22"/>
              </w:rPr>
              <w:t>+4.3%</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Net Bookings</w:t>
            </w:r>
          </w:p>
        </w:tc>
        <w:tc>
          <w:tcPr>
            <w:tcW w:type="dxa" w:w="1440"/>
          </w:tcPr>
          <w:p>
            <w:r>
              <w:rPr>
                <w:rFonts w:ascii="Calibri" w:hAnsi="Calibri"/>
                <w:sz w:val="22"/>
              </w:rPr>
              <w:t>$1,423M</w:t>
            </w:r>
          </w:p>
        </w:tc>
        <w:tc>
          <w:tcPr>
            <w:tcW w:type="dxa" w:w="1440"/>
          </w:tcPr>
          <w:p>
            <w:r>
              <w:rPr>
                <w:rFonts w:ascii="Calibri" w:hAnsi="Calibri"/>
                <w:sz w:val="22"/>
              </w:rPr>
              <w:t>$1,295M</w:t>
            </w:r>
          </w:p>
        </w:tc>
        <w:tc>
          <w:tcPr>
            <w:tcW w:type="dxa" w:w="1440"/>
          </w:tcPr>
          <w:p>
            <w:r>
              <w:rPr>
                <w:rFonts w:ascii="Calibri" w:hAnsi="Calibri"/>
                <w:b/>
                <w:color w:val="30A46C"/>
                <w:sz w:val="22"/>
              </w:rPr>
              <w:t>+9.9%</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RCS</w:t>
            </w:r>
          </w:p>
        </w:tc>
        <w:tc>
          <w:tcPr>
            <w:tcW w:type="dxa" w:w="1440"/>
          </w:tcPr>
          <w:p>
            <w:r>
              <w:rPr>
                <w:rFonts w:ascii="Calibri" w:hAnsi="Calibri"/>
                <w:sz w:val="22"/>
              </w:rPr>
              <w:t>$1,256M</w:t>
            </w:r>
          </w:p>
        </w:tc>
        <w:tc>
          <w:tcPr>
            <w:tcW w:type="dxa" w:w="1440"/>
          </w:tcPr>
          <w:p>
            <w:r>
              <w:rPr>
                <w:rFonts w:ascii="Calibri" w:hAnsi="Calibri"/>
                <w:sz w:val="22"/>
              </w:rPr>
              <w:t>$1,136M</w:t>
            </w:r>
          </w:p>
        </w:tc>
        <w:tc>
          <w:tcPr>
            <w:tcW w:type="dxa" w:w="1440"/>
          </w:tcPr>
          <w:p>
            <w:r>
              <w:rPr>
                <w:rFonts w:ascii="Calibri" w:hAnsi="Calibri"/>
                <w:b/>
                <w:color w:val="30A46C"/>
                <w:sz w:val="22"/>
              </w:rPr>
              <w:t>+10.6%</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Net Bookings</w:t>
            </w:r>
          </w:p>
        </w:tc>
        <w:tc>
          <w:tcPr>
            <w:tcW w:type="dxa" w:w="1440"/>
          </w:tcPr>
          <w:p>
            <w:r>
              <w:rPr>
                <w:rFonts w:ascii="Calibri" w:hAnsi="Calibri"/>
                <w:sz w:val="22"/>
              </w:rPr>
              <w:t>$1,582M</w:t>
            </w:r>
          </w:p>
        </w:tc>
        <w:tc>
          <w:tcPr>
            <w:tcW w:type="dxa" w:w="1440"/>
          </w:tcPr>
          <w:p>
            <w:r>
              <w:rPr>
                <w:rFonts w:ascii="Calibri" w:hAnsi="Calibri"/>
                <w:sz w:val="22"/>
              </w:rPr>
              <w:t>$1,546M</w:t>
            </w:r>
          </w:p>
        </w:tc>
        <w:tc>
          <w:tcPr>
            <w:tcW w:type="dxa" w:w="1440"/>
          </w:tcPr>
          <w:p>
            <w:r>
              <w:rPr>
                <w:rFonts w:ascii="Calibri" w:hAnsi="Calibri"/>
                <w:b/>
                <w:color w:val="30A46C"/>
                <w:sz w:val="22"/>
              </w:rPr>
              <w:t>+2.3%</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RCS</w:t>
            </w:r>
          </w:p>
        </w:tc>
        <w:tc>
          <w:tcPr>
            <w:tcW w:type="dxa" w:w="1440"/>
          </w:tcPr>
          <w:p>
            <w:r>
              <w:rPr>
                <w:rFonts w:ascii="Calibri" w:hAnsi="Calibri"/>
                <w:sz w:val="22"/>
              </w:rPr>
              <w:t>$1,210M</w:t>
            </w:r>
          </w:p>
        </w:tc>
        <w:tc>
          <w:tcPr>
            <w:tcW w:type="dxa" w:w="1440"/>
          </w:tcPr>
          <w:p>
            <w:r>
              <w:rPr>
                <w:rFonts w:ascii="Calibri" w:hAnsi="Calibri"/>
                <w:sz w:val="22"/>
              </w:rPr>
              <w:t>$1,154M</w:t>
            </w:r>
          </w:p>
        </w:tc>
        <w:tc>
          <w:tcPr>
            <w:tcW w:type="dxa" w:w="1440"/>
          </w:tcPr>
          <w:p>
            <w:r>
              <w:rPr>
                <w:rFonts w:ascii="Calibri" w:hAnsi="Calibri"/>
                <w:b/>
                <w:color w:val="30A46C"/>
                <w:sz w:val="22"/>
              </w:rPr>
              <w:t>+4.9%</w:t>
            </w:r>
          </w:p>
        </w:tc>
        <w:tc>
          <w:tcPr>
            <w:tcW w:type="dxa" w:w="1440"/>
          </w:tcPr>
          <w:p>
            <w:r>
              <w:rPr>
                <w:rFonts w:ascii="Calibri" w:hAnsi="Calibri"/>
                <w:sz w:val="22"/>
              </w:rPr>
              <w:t>Beat</w:t>
            </w:r>
          </w:p>
        </w:tc>
      </w:tr>
      <w:tr>
        <w:tc>
          <w:tcPr>
            <w:tcW w:type="dxa" w:w="1440"/>
          </w:tcPr>
          <w:p>
            <w:r>
              <w:rPr>
                <w:rFonts w:ascii="Calibri" w:hAnsi="Calibri"/>
                <w:sz w:val="22"/>
              </w:rPr>
              <w:t>Q3 FY2025</w:t>
            </w:r>
          </w:p>
        </w:tc>
        <w:tc>
          <w:tcPr>
            <w:tcW w:type="dxa" w:w="1440"/>
          </w:tcPr>
          <w:p>
            <w:r>
              <w:rPr>
                <w:rFonts w:ascii="Calibri" w:hAnsi="Calibri"/>
                <w:sz w:val="22"/>
              </w:rPr>
              <w:t>Net Bookings</w:t>
            </w:r>
          </w:p>
        </w:tc>
        <w:tc>
          <w:tcPr>
            <w:tcW w:type="dxa" w:w="1440"/>
          </w:tcPr>
          <w:p>
            <w:r>
              <w:rPr>
                <w:rFonts w:ascii="Calibri" w:hAnsi="Calibri"/>
                <w:sz w:val="22"/>
              </w:rPr>
              <w:t>$1,374M</w:t>
            </w:r>
          </w:p>
        </w:tc>
        <w:tc>
          <w:tcPr>
            <w:tcW w:type="dxa" w:w="1440"/>
          </w:tcPr>
          <w:p>
            <w:r>
              <w:rPr>
                <w:rFonts w:ascii="Calibri" w:hAnsi="Calibri"/>
                <w:sz w:val="22"/>
              </w:rPr>
              <w:t>$1,389M</w:t>
            </w:r>
          </w:p>
        </w:tc>
        <w:tc>
          <w:tcPr>
            <w:tcW w:type="dxa" w:w="1440"/>
          </w:tcPr>
          <w:p>
            <w:r>
              <w:rPr>
                <w:rFonts w:ascii="Calibri" w:hAnsi="Calibri"/>
                <w:b/>
                <w:color w:val="E5484D"/>
                <w:sz w:val="22"/>
              </w:rPr>
              <w:t>-1.1%</w:t>
            </w:r>
          </w:p>
        </w:tc>
        <w:tc>
          <w:tcPr>
            <w:tcW w:type="dxa" w:w="1440"/>
          </w:tcPr>
          <w:p>
            <w:r>
              <w:rPr>
                <w:rFonts w:ascii="Calibri" w:hAnsi="Calibri"/>
                <w:sz w:val="22"/>
              </w:rPr>
              <w:t>Miss</w:t>
            </w:r>
          </w:p>
        </w:tc>
      </w:tr>
      <w:tr>
        <w:tc>
          <w:tcPr>
            <w:tcW w:type="dxa" w:w="1440"/>
          </w:tcPr>
          <w:p>
            <w:r>
              <w:rPr>
                <w:rFonts w:ascii="Calibri" w:hAnsi="Calibri"/>
                <w:sz w:val="22"/>
              </w:rPr>
              <w:t>Q3 FY2025</w:t>
            </w:r>
          </w:p>
        </w:tc>
        <w:tc>
          <w:tcPr>
            <w:tcW w:type="dxa" w:w="1440"/>
          </w:tcPr>
          <w:p>
            <w:r>
              <w:rPr>
                <w:rFonts w:ascii="Calibri" w:hAnsi="Calibri"/>
                <w:sz w:val="22"/>
              </w:rPr>
              <w:t>RCS</w:t>
            </w:r>
          </w:p>
        </w:tc>
        <w:tc>
          <w:tcPr>
            <w:tcW w:type="dxa" w:w="1440"/>
          </w:tcPr>
          <w:p>
            <w:r>
              <w:rPr>
                <w:rFonts w:ascii="Calibri" w:hAnsi="Calibri"/>
                <w:sz w:val="22"/>
              </w:rPr>
              <w:t>$1,088M</w:t>
            </w:r>
          </w:p>
        </w:tc>
        <w:tc>
          <w:tcPr>
            <w:tcW w:type="dxa" w:w="1440"/>
          </w:tcPr>
          <w:p>
            <w:r>
              <w:rPr>
                <w:rFonts w:ascii="Calibri" w:hAnsi="Calibri"/>
                <w:sz w:val="22"/>
              </w:rPr>
              <w:t>$1,182M</w:t>
            </w:r>
          </w:p>
        </w:tc>
        <w:tc>
          <w:tcPr>
            <w:tcW w:type="dxa" w:w="1440"/>
          </w:tcPr>
          <w:p>
            <w:r>
              <w:rPr>
                <w:rFonts w:ascii="Calibri" w:hAnsi="Calibri"/>
                <w:b/>
                <w:color w:val="E5484D"/>
                <w:sz w:val="22"/>
              </w:rPr>
              <w:t>-7.9%</w:t>
            </w:r>
          </w:p>
        </w:tc>
        <w:tc>
          <w:tcPr>
            <w:tcW w:type="dxa" w:w="1440"/>
          </w:tcPr>
          <w:p>
            <w:r>
              <w:rPr>
                <w:rFonts w:ascii="Calibri" w:hAnsi="Calibri"/>
                <w:sz w:val="22"/>
              </w:rPr>
              <w:t>Miss</w:t>
            </w:r>
          </w:p>
        </w:tc>
      </w:tr>
      <w:tr>
        <w:tc>
          <w:tcPr>
            <w:tcW w:type="dxa" w:w="1440"/>
          </w:tcPr>
          <w:p>
            <w:r>
              <w:rPr>
                <w:rFonts w:ascii="Calibri" w:hAnsi="Calibri"/>
                <w:sz w:val="22"/>
              </w:rPr>
              <w:t>Q2 FY2025</w:t>
            </w:r>
          </w:p>
        </w:tc>
        <w:tc>
          <w:tcPr>
            <w:tcW w:type="dxa" w:w="1440"/>
          </w:tcPr>
          <w:p>
            <w:r>
              <w:rPr>
                <w:rFonts w:ascii="Calibri" w:hAnsi="Calibri"/>
                <w:sz w:val="22"/>
              </w:rPr>
              <w:t>Net Bookings</w:t>
            </w:r>
          </w:p>
        </w:tc>
        <w:tc>
          <w:tcPr>
            <w:tcW w:type="dxa" w:w="1440"/>
          </w:tcPr>
          <w:p>
            <w:r>
              <w:rPr>
                <w:rFonts w:ascii="Calibri" w:hAnsi="Calibri"/>
                <w:sz w:val="22"/>
              </w:rPr>
              <w:t>$1,475M</w:t>
            </w:r>
          </w:p>
        </w:tc>
        <w:tc>
          <w:tcPr>
            <w:tcW w:type="dxa" w:w="1440"/>
          </w:tcPr>
          <w:p>
            <w:r>
              <w:rPr>
                <w:rFonts w:ascii="Calibri" w:hAnsi="Calibri"/>
                <w:sz w:val="22"/>
              </w:rPr>
              <w:t>$1,460M</w:t>
            </w:r>
          </w:p>
        </w:tc>
        <w:tc>
          <w:tcPr>
            <w:tcW w:type="dxa" w:w="1440"/>
          </w:tcPr>
          <w:p>
            <w:r>
              <w:rPr>
                <w:rFonts w:ascii="Calibri" w:hAnsi="Calibri"/>
                <w:b/>
                <w:color w:val="30A46C"/>
                <w:sz w:val="22"/>
              </w:rPr>
              <w:t>+1.0%</w:t>
            </w:r>
          </w:p>
        </w:tc>
        <w:tc>
          <w:tcPr>
            <w:tcW w:type="dxa" w:w="1440"/>
          </w:tcPr>
          <w:p>
            <w:r>
              <w:rPr>
                <w:rFonts w:ascii="Calibri" w:hAnsi="Calibri"/>
                <w:sz w:val="22"/>
              </w:rPr>
              <w:t>Beat</w:t>
            </w:r>
          </w:p>
        </w:tc>
      </w:tr>
      <w:tr>
        <w:tc>
          <w:tcPr>
            <w:tcW w:type="dxa" w:w="1440"/>
          </w:tcPr>
          <w:p>
            <w:r>
              <w:rPr>
                <w:rFonts w:ascii="Calibri" w:hAnsi="Calibri"/>
                <w:sz w:val="22"/>
              </w:rPr>
              <w:t>Q2 FY2025</w:t>
            </w:r>
          </w:p>
        </w:tc>
        <w:tc>
          <w:tcPr>
            <w:tcW w:type="dxa" w:w="1440"/>
          </w:tcPr>
          <w:p>
            <w:r>
              <w:rPr>
                <w:rFonts w:ascii="Calibri" w:hAnsi="Calibri"/>
                <w:sz w:val="22"/>
              </w:rPr>
              <w:t>RCS</w:t>
            </w:r>
          </w:p>
        </w:tc>
        <w:tc>
          <w:tcPr>
            <w:tcW w:type="dxa" w:w="1440"/>
          </w:tcPr>
          <w:p>
            <w:r>
              <w:rPr>
                <w:rFonts w:ascii="Calibri" w:hAnsi="Calibri"/>
                <w:sz w:val="22"/>
              </w:rPr>
              <w:t>$1,079M</w:t>
            </w:r>
          </w:p>
        </w:tc>
        <w:tc>
          <w:tcPr>
            <w:tcW w:type="dxa" w:w="1440"/>
          </w:tcPr>
          <w:p>
            <w:r>
              <w:rPr>
                <w:rFonts w:ascii="Calibri" w:hAnsi="Calibri"/>
                <w:sz w:val="22"/>
              </w:rPr>
              <w:t>$1,091M</w:t>
            </w:r>
          </w:p>
        </w:tc>
        <w:tc>
          <w:tcPr>
            <w:tcW w:type="dxa" w:w="1440"/>
          </w:tcPr>
          <w:p>
            <w:r>
              <w:rPr>
                <w:rFonts w:ascii="Calibri" w:hAnsi="Calibri"/>
                <w:b/>
                <w:color w:val="E5484D"/>
                <w:sz w:val="22"/>
              </w:rPr>
              <w:t>-1.1%</w:t>
            </w:r>
          </w:p>
        </w:tc>
        <w:tc>
          <w:tcPr>
            <w:tcW w:type="dxa" w:w="1440"/>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TTWO has beaten net bookings consensus in 6 of the last 8 quarters, with beats averaging ~6% when they occur. RCS has beaten in 5 of 8 quarters. The two misses (Q3 FY2025) were concentrated in a single quarter; the subsequent 5 quarters have all been beats, suggesting the Street has been consistently too conservative on engagement and monetization trends.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May 21 earnings call — no post-earnings 8-K, conference, or investor day has revised the numbers. Management tone remains one of execution certainty around GTA VI, with the marketing campaign now live and pre-orders open.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FY2026 Earnings Call, May 21,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Q1 FY2027 Net Bookings</w:t>
            </w:r>
          </w:p>
        </w:tc>
        <w:tc>
          <w:tcPr>
            <w:tcW w:type="dxa" w:w="1728"/>
          </w:tcPr>
          <w:p>
            <w:r>
              <w:rPr>
                <w:rFonts w:ascii="Calibri" w:hAnsi="Calibri"/>
                <w:sz w:val="22"/>
              </w:rPr>
              <w:t>$1,320M–$1,370M</w:t>
            </w:r>
          </w:p>
        </w:tc>
        <w:tc>
          <w:tcPr>
            <w:tcW w:type="dxa" w:w="1728"/>
          </w:tcPr>
          <w:p>
            <w:r>
              <w:rPr>
                <w:rFonts w:ascii="Calibri" w:hAnsi="Calibri"/>
                <w:sz w:val="22"/>
              </w:rPr>
              <w:t>—</w:t>
            </w:r>
          </w:p>
        </w:tc>
        <w:tc>
          <w:tcPr>
            <w:tcW w:type="dxa" w:w="1728"/>
          </w:tcPr>
          <w:p>
            <w:r>
              <w:rPr>
                <w:rFonts w:ascii="Calibri" w:hAnsi="Calibri"/>
                <w:sz w:val="22"/>
              </w:rPr>
              <w:t>$1,363M</w:t>
            </w:r>
          </w:p>
        </w:tc>
        <w:tc>
          <w:tcPr>
            <w:tcW w:type="dxa" w:w="1728"/>
          </w:tcPr>
          <w:p>
            <w:r>
              <w:rPr>
                <w:rFonts w:ascii="Calibri" w:hAnsi="Calibri"/>
                <w:sz w:val="22"/>
              </w:rPr>
              <w:t>Unchanged. Consensus near top of range.</w:t>
            </w:r>
          </w:p>
        </w:tc>
      </w:tr>
      <w:tr>
        <w:tc>
          <w:tcPr>
            <w:tcW w:type="dxa" w:w="1728"/>
          </w:tcPr>
          <w:p>
            <w:r>
              <w:rPr>
                <w:rFonts w:ascii="Calibri" w:hAnsi="Calibri"/>
                <w:sz w:val="22"/>
              </w:rPr>
              <w:t>Q1 FY2027 RCS</w:t>
            </w:r>
          </w:p>
        </w:tc>
        <w:tc>
          <w:tcPr>
            <w:tcW w:type="dxa" w:w="1728"/>
          </w:tcPr>
          <w:p>
            <w:r>
              <w:rPr>
                <w:rFonts w:ascii="Calibri" w:hAnsi="Calibri"/>
                <w:sz w:val="22"/>
              </w:rPr>
              <w:t>~-3% YoY (assumes NBA 2K +HSD, Mobile down, GTA down)</w:t>
            </w:r>
          </w:p>
        </w:tc>
        <w:tc>
          <w:tcPr>
            <w:tcW w:type="dxa" w:w="1728"/>
          </w:tcPr>
          <w:p>
            <w:r>
              <w:rPr>
                <w:rFonts w:ascii="Calibri" w:hAnsi="Calibri"/>
                <w:sz w:val="22"/>
              </w:rPr>
              <w:t>—</w:t>
            </w:r>
          </w:p>
        </w:tc>
        <w:tc>
          <w:tcPr>
            <w:tcW w:type="dxa" w:w="1728"/>
          </w:tcPr>
          <w:p>
            <w:r>
              <w:rPr>
                <w:rFonts w:ascii="Calibri" w:hAnsi="Calibri"/>
                <w:sz w:val="22"/>
              </w:rPr>
              <w:t>$1,182M (-5.9% YoY)</w:t>
            </w:r>
          </w:p>
        </w:tc>
        <w:tc>
          <w:tcPr>
            <w:tcW w:type="dxa" w:w="1728"/>
          </w:tcPr>
          <w:p>
            <w:r>
              <w:rPr>
                <w:rFonts w:ascii="Calibri" w:hAnsi="Calibri"/>
                <w:sz w:val="22"/>
              </w:rPr>
              <w:t>Unchanged. Consensus slightly below guidance implied level.</w:t>
            </w:r>
          </w:p>
        </w:tc>
      </w:tr>
      <w:tr>
        <w:tc>
          <w:tcPr>
            <w:tcW w:type="dxa" w:w="1728"/>
          </w:tcPr>
          <w:p>
            <w:r>
              <w:rPr>
                <w:rFonts w:ascii="Calibri" w:hAnsi="Calibri"/>
                <w:sz w:val="22"/>
              </w:rPr>
              <w:t>Q1 FY2027 GAAP Net Revenue</w:t>
            </w:r>
          </w:p>
        </w:tc>
        <w:tc>
          <w:tcPr>
            <w:tcW w:type="dxa" w:w="1728"/>
          </w:tcPr>
          <w:p>
            <w:r>
              <w:rPr>
                <w:rFonts w:ascii="Calibri" w:hAnsi="Calibri"/>
                <w:sz w:val="22"/>
              </w:rPr>
              <w:t>$1,450M–$1,500M</w:t>
            </w:r>
          </w:p>
        </w:tc>
        <w:tc>
          <w:tcPr>
            <w:tcW w:type="dxa" w:w="1728"/>
          </w:tcPr>
          <w:p>
            <w:r>
              <w:rPr>
                <w:rFonts w:ascii="Calibri" w:hAnsi="Calibri"/>
                <w:sz w:val="22"/>
              </w:rPr>
              <w:t>—</w:t>
            </w:r>
          </w:p>
        </w:tc>
        <w:tc>
          <w:tcPr>
            <w:tcW w:type="dxa" w:w="1728"/>
          </w:tcPr>
          <w:p>
            <w:r>
              <w:rPr>
                <w:rFonts w:ascii="Calibri" w:hAnsi="Calibri"/>
                <w:sz w:val="22"/>
              </w:rPr>
              <w:t>N/A — not tracked separately in VA</w:t>
            </w:r>
          </w:p>
        </w:tc>
        <w:tc>
          <w:tcPr>
            <w:tcW w:type="dxa" w:w="1728"/>
          </w:tcPr>
          <w:p>
            <w:r>
              <w:rPr>
                <w:rFonts w:ascii="Calibri" w:hAnsi="Calibri"/>
                <w:sz w:val="22"/>
              </w:rPr>
              <w:t>Unchanged.</w:t>
            </w:r>
          </w:p>
        </w:tc>
      </w:tr>
      <w:tr>
        <w:tc>
          <w:tcPr>
            <w:tcW w:type="dxa" w:w="1728"/>
          </w:tcPr>
          <w:p>
            <w:r>
              <w:rPr>
                <w:rFonts w:ascii="Calibri" w:hAnsi="Calibri"/>
                <w:sz w:val="22"/>
              </w:rPr>
              <w:t>Q1 FY2027 Opex (Mgmt. Basis)</w:t>
            </w:r>
          </w:p>
        </w:tc>
        <w:tc>
          <w:tcPr>
            <w:tcW w:type="dxa" w:w="1728"/>
          </w:tcPr>
          <w:p>
            <w:r>
              <w:rPr>
                <w:rFonts w:ascii="Calibri" w:hAnsi="Calibri"/>
                <w:sz w:val="22"/>
              </w:rPr>
              <w:t>+3% YoY; $926M–$936M GAAP</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Modest personnel cost increase.</w:t>
            </w:r>
          </w:p>
        </w:tc>
      </w:tr>
      <w:tr>
        <w:tc>
          <w:tcPr>
            <w:tcW w:type="dxa" w:w="1728"/>
          </w:tcPr>
          <w:p>
            <w:r>
              <w:rPr>
                <w:rFonts w:ascii="Calibri" w:hAnsi="Calibri"/>
                <w:sz w:val="22"/>
              </w:rPr>
              <w:t>FY2027 Net Bookings</w:t>
            </w:r>
          </w:p>
        </w:tc>
        <w:tc>
          <w:tcPr>
            <w:tcW w:type="dxa" w:w="1728"/>
          </w:tcPr>
          <w:p>
            <w:r>
              <w:rPr>
                <w:rFonts w:ascii="Calibri" w:hAnsi="Calibri"/>
                <w:sz w:val="22"/>
              </w:rPr>
              <w:t>$8,000M–$8,200M (~20% YoY growth)</w:t>
            </w:r>
          </w:p>
        </w:tc>
        <w:tc>
          <w:tcPr>
            <w:tcW w:type="dxa" w:w="1728"/>
          </w:tcPr>
          <w:p>
            <w:r>
              <w:rPr>
                <w:rFonts w:ascii="Calibri" w:hAnsi="Calibri"/>
                <w:sz w:val="22"/>
              </w:rPr>
              <w:t>—</w:t>
            </w:r>
          </w:p>
        </w:tc>
        <w:tc>
          <w:tcPr>
            <w:tcW w:type="dxa" w:w="1728"/>
          </w:tcPr>
          <w:p>
            <w:r>
              <w:rPr>
                <w:rFonts w:ascii="Calibri" w:hAnsi="Calibri"/>
                <w:sz w:val="22"/>
              </w:rPr>
              <w:t>$8,543M</w:t>
            </w:r>
          </w:p>
        </w:tc>
        <w:tc>
          <w:tcPr>
            <w:tcW w:type="dxa" w:w="1728"/>
          </w:tcPr>
          <w:p>
            <w:r>
              <w:rPr>
                <w:rFonts w:ascii="Calibri" w:hAnsi="Calibri"/>
                <w:sz w:val="22"/>
              </w:rPr>
              <w:t>Unchanged. Consensus ~4% above guidance midpoint, reflecting GTA VI upside optionality.</w:t>
            </w:r>
          </w:p>
        </w:tc>
      </w:tr>
      <w:tr>
        <w:tc>
          <w:tcPr>
            <w:tcW w:type="dxa" w:w="1728"/>
          </w:tcPr>
          <w:p>
            <w:r>
              <w:rPr>
                <w:rFonts w:ascii="Calibri" w:hAnsi="Calibri"/>
                <w:sz w:val="22"/>
              </w:rPr>
              <w:t>FY2027 RCS</w:t>
            </w:r>
          </w:p>
        </w:tc>
        <w:tc>
          <w:tcPr>
            <w:tcW w:type="dxa" w:w="1728"/>
          </w:tcPr>
          <w:p>
            <w:r>
              <w:rPr>
                <w:rFonts w:ascii="Calibri" w:hAnsi="Calibri"/>
                <w:sz w:val="22"/>
              </w:rPr>
              <w:t>Flat YoY; ~65% of net bookings</w:t>
            </w:r>
          </w:p>
        </w:tc>
        <w:tc>
          <w:tcPr>
            <w:tcW w:type="dxa" w:w="1728"/>
          </w:tcPr>
          <w:p>
            <w:r>
              <w:rPr>
                <w:rFonts w:ascii="Calibri" w:hAnsi="Calibri"/>
                <w:sz w:val="22"/>
              </w:rPr>
              <w:t>—</w:t>
            </w:r>
          </w:p>
        </w:tc>
        <w:tc>
          <w:tcPr>
            <w:tcW w:type="dxa" w:w="1728"/>
          </w:tcPr>
          <w:p>
            <w:r>
              <w:rPr>
                <w:rFonts w:ascii="Calibri" w:hAnsi="Calibri"/>
                <w:sz w:val="22"/>
              </w:rPr>
              <w:t>$5,402M</w:t>
            </w:r>
          </w:p>
        </w:tc>
        <w:tc>
          <w:tcPr>
            <w:tcW w:type="dxa" w:w="1728"/>
          </w:tcPr>
          <w:p>
            <w:r>
              <w:rPr>
                <w:rFonts w:ascii="Calibri" w:hAnsi="Calibri"/>
                <w:sz w:val="22"/>
              </w:rPr>
              <w:t>Unchanged. Consensus broadly in line with guidance.</w:t>
            </w:r>
          </w:p>
        </w:tc>
      </w:tr>
      <w:tr>
        <w:tc>
          <w:tcPr>
            <w:tcW w:type="dxa" w:w="1728"/>
          </w:tcPr>
          <w:p>
            <w:r>
              <w:rPr>
                <w:rFonts w:ascii="Calibri" w:hAnsi="Calibri"/>
                <w:sz w:val="22"/>
              </w:rPr>
              <w:t>FY2027 Operating Cash Flow</w:t>
            </w:r>
          </w:p>
        </w:tc>
        <w:tc>
          <w:tcPr>
            <w:tcW w:type="dxa" w:w="1728"/>
          </w:tcPr>
          <w:p>
            <w:r>
              <w:rPr>
                <w:rFonts w:ascii="Calibri" w:hAnsi="Calibri"/>
                <w:sz w:val="22"/>
              </w:rPr>
              <w:t>&gt;$1,000M; net cash position by year-end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Significant inflection from FY2026.</w:t>
            </w:r>
          </w:p>
        </w:tc>
      </w:tr>
    </w:tbl>
    <w:p>
      <w:r>
        <w:rPr>
          <w:rFonts w:ascii="Calibri" w:hAnsi="Calibri"/>
          <w:i/>
          <w:color w:val="525866"/>
          <w:sz w:val="22"/>
        </w:rPr>
        <w:t>Source: Q4 FY2026 Earnings Call transcript (May 21, 2026); Visible Alpha consensus data.</w:t>
      </w:r>
    </w:p>
    <w:p>
      <w:pPr>
        <w:pStyle w:val="Heading2"/>
      </w:pPr>
      <w:r>
        <w:rPr>
          <w:rFonts w:ascii="Calibri" w:hAnsi="Calibri"/>
          <w:b/>
          <w:color w:val="3B4259"/>
          <w:sz w:val="28"/>
        </w:rPr>
        <w:t>Guidance vs. Estimate Revision Tracker</w:t>
      </w:r>
    </w:p>
    <w:p>
      <w:r>
        <w:rPr>
          <w:rFonts w:ascii="Calibri" w:hAnsi="Calibri"/>
          <w:b/>
          <w:color w:val="525866"/>
          <w:sz w:val="22"/>
        </w:rPr>
        <w:t xml:space="preserve">Key Takeaway: </w:t>
      </w:r>
      <w:r>
        <w:rPr>
          <w:rFonts w:ascii="Calibri" w:hAnsi="Calibri"/>
          <w:color w:val="525866"/>
          <w:sz w:val="22"/>
        </w:rPr>
        <w:t>Estimates for Q1 FY2027 have been essentially stable since the post-earnings baseline, with consensus sitting near the top of guidance. FY2027 full-year estimates are running ~4% above the guidance midpoint, reflecting the Street pricing in GTA VI upside beyond management's conservative initial framework.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Last Earnings (May 27, 2026)</w:t>
            </w:r>
          </w:p>
        </w:tc>
        <w:tc>
          <w:tcPr>
            <w:tcW w:type="dxa" w:w="1080"/>
            <w:shd w:val="clear" w:color="auto" w:fill="3B4259"/>
          </w:tcPr>
          <w:p>
            <w:r>
              <w:rPr>
                <w:rFonts w:ascii="Calibri" w:hAnsi="Calibri"/>
                <w:b/>
                <w:color w:val="FFFFFF"/>
                <w:sz w:val="22"/>
              </w:rPr>
              <w:t>Current Consensus (Aug 6,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21, 2026)</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Bookings (Q1 FY2027)</w:t>
            </w:r>
          </w:p>
        </w:tc>
        <w:tc>
          <w:tcPr>
            <w:tcW w:type="dxa" w:w="1080"/>
          </w:tcPr>
          <w:p>
            <w:r>
              <w:rPr>
                <w:rFonts w:ascii="Calibri" w:hAnsi="Calibri"/>
                <w:sz w:val="22"/>
              </w:rPr>
              <w:t>$1,361M</w:t>
            </w:r>
          </w:p>
        </w:tc>
        <w:tc>
          <w:tcPr>
            <w:tcW w:type="dxa" w:w="1080"/>
          </w:tcPr>
          <w:p>
            <w:r>
              <w:rPr>
                <w:rFonts w:ascii="Calibri" w:hAnsi="Calibri"/>
                <w:sz w:val="22"/>
              </w:rPr>
              <w:t>$1,363M</w:t>
            </w:r>
          </w:p>
        </w:tc>
        <w:tc>
          <w:tcPr>
            <w:tcW w:type="dxa" w:w="1080"/>
          </w:tcPr>
          <w:p>
            <w:r>
              <w:rPr>
                <w:rFonts w:ascii="Calibri" w:hAnsi="Calibri"/>
                <w:sz w:val="22"/>
              </w:rPr>
              <w:t>+0.1%</w:t>
            </w:r>
          </w:p>
        </w:tc>
        <w:tc>
          <w:tcPr>
            <w:tcW w:type="dxa" w:w="1080"/>
          </w:tcPr>
          <w:p>
            <w:r>
              <w:rPr>
                <w:rFonts w:ascii="Calibri" w:hAnsi="Calibri"/>
                <w:sz w:val="22"/>
              </w:rPr>
              <w:t>$1,320M–$1,370M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 vs. $1,345M mid</w:t>
            </w:r>
          </w:p>
        </w:tc>
      </w:tr>
      <w:tr>
        <w:tc>
          <w:tcPr>
            <w:tcW w:type="dxa" w:w="1080"/>
          </w:tcPr>
          <w:p>
            <w:r>
              <w:rPr>
                <w:rFonts w:ascii="Calibri" w:hAnsi="Calibri"/>
                <w:sz w:val="22"/>
              </w:rPr>
              <w:t>RCS (Q1 FY2027)</w:t>
            </w:r>
          </w:p>
        </w:tc>
        <w:tc>
          <w:tcPr>
            <w:tcW w:type="dxa" w:w="1080"/>
          </w:tcPr>
          <w:p>
            <w:r>
              <w:rPr>
                <w:rFonts w:ascii="Calibri" w:hAnsi="Calibri"/>
                <w:sz w:val="22"/>
              </w:rPr>
              <w:t>$1,121M</w:t>
            </w:r>
          </w:p>
        </w:tc>
        <w:tc>
          <w:tcPr>
            <w:tcW w:type="dxa" w:w="1080"/>
          </w:tcPr>
          <w:p>
            <w:r>
              <w:rPr>
                <w:rFonts w:ascii="Calibri" w:hAnsi="Calibri"/>
                <w:sz w:val="22"/>
              </w:rPr>
              <w:t>$1,182M</w:t>
            </w:r>
          </w:p>
        </w:tc>
        <w:tc>
          <w:tcPr>
            <w:tcW w:type="dxa" w:w="1080"/>
          </w:tcPr>
          <w:p>
            <w:r>
              <w:rPr>
                <w:rFonts w:ascii="Calibri" w:hAnsi="Calibri"/>
                <w:b/>
                <w:color w:val="30A46C"/>
                <w:sz w:val="22"/>
              </w:rPr>
              <w:t>+5.4%</w:t>
            </w:r>
          </w:p>
        </w:tc>
        <w:tc>
          <w:tcPr>
            <w:tcW w:type="dxa" w:w="1080"/>
          </w:tcPr>
          <w:p>
            <w:r>
              <w:rPr>
                <w:rFonts w:ascii="Calibri" w:hAnsi="Calibri"/>
                <w:sz w:val="22"/>
              </w:rPr>
              <w:t>~-3% YoY (~$1,218M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-3.0% vs. guidance implied mid</w:t>
            </w:r>
          </w:p>
        </w:tc>
      </w:tr>
      <w:tr>
        <w:tc>
          <w:tcPr>
            <w:tcW w:type="dxa" w:w="1080"/>
          </w:tcPr>
          <w:p>
            <w:r>
              <w:rPr>
                <w:rFonts w:ascii="Calibri" w:hAnsi="Calibri"/>
                <w:sz w:val="22"/>
              </w:rPr>
              <w:t>EPS — Diluted Operating (Q1 FY2027)</w:t>
            </w:r>
          </w:p>
        </w:tc>
        <w:tc>
          <w:tcPr>
            <w:tcW w:type="dxa" w:w="1080"/>
          </w:tcPr>
          <w:p>
            <w:r>
              <w:rPr>
                <w:rFonts w:ascii="Calibri" w:hAnsi="Calibri"/>
                <w:sz w:val="22"/>
              </w:rPr>
              <w:t>$0.34</w:t>
            </w:r>
          </w:p>
        </w:tc>
        <w:tc>
          <w:tcPr>
            <w:tcW w:type="dxa" w:w="1080"/>
          </w:tcPr>
          <w:p>
            <w:r>
              <w:rPr>
                <w:rFonts w:ascii="Calibri" w:hAnsi="Calibri"/>
                <w:sz w:val="22"/>
              </w:rPr>
              <w:t>$0.33</w:t>
            </w:r>
          </w:p>
        </w:tc>
        <w:tc>
          <w:tcPr>
            <w:tcW w:type="dxa" w:w="1080"/>
          </w:tcPr>
          <w:p>
            <w:r>
              <w:rPr>
                <w:rFonts w:ascii="Calibri" w:hAnsi="Calibri"/>
                <w:sz w:val="22"/>
              </w:rPr>
              <w:t>-3.5%</w:t>
            </w:r>
          </w:p>
        </w:tc>
        <w:tc>
          <w:tcPr>
            <w:tcW w:type="dxa" w:w="1080"/>
          </w:tcPr>
          <w:p>
            <w:r>
              <w:rPr>
                <w:rFonts w:ascii="Calibri" w:hAnsi="Calibri"/>
                <w:sz w:val="22"/>
              </w:rPr>
              <w:t>N/A — no EPS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Net Bookings (FY2027)</w:t>
            </w:r>
          </w:p>
        </w:tc>
        <w:tc>
          <w:tcPr>
            <w:tcW w:type="dxa" w:w="1080"/>
          </w:tcPr>
          <w:p>
            <w:r>
              <w:rPr>
                <w:rFonts w:ascii="Calibri" w:hAnsi="Calibri"/>
                <w:sz w:val="22"/>
              </w:rPr>
              <w:t>$8,498M</w:t>
            </w:r>
          </w:p>
        </w:tc>
        <w:tc>
          <w:tcPr>
            <w:tcW w:type="dxa" w:w="1080"/>
          </w:tcPr>
          <w:p>
            <w:r>
              <w:rPr>
                <w:rFonts w:ascii="Calibri" w:hAnsi="Calibri"/>
                <w:sz w:val="22"/>
              </w:rPr>
              <w:t>$8,543M</w:t>
            </w:r>
          </w:p>
        </w:tc>
        <w:tc>
          <w:tcPr>
            <w:tcW w:type="dxa" w:w="1080"/>
          </w:tcPr>
          <w:p>
            <w:r>
              <w:rPr>
                <w:rFonts w:ascii="Calibri" w:hAnsi="Calibri"/>
                <w:sz w:val="22"/>
              </w:rPr>
              <w:t>+0.5%</w:t>
            </w:r>
          </w:p>
        </w:tc>
        <w:tc>
          <w:tcPr>
            <w:tcW w:type="dxa" w:w="1080"/>
          </w:tcPr>
          <w:p>
            <w:r>
              <w:rPr>
                <w:rFonts w:ascii="Calibri" w:hAnsi="Calibri"/>
                <w:sz w:val="22"/>
              </w:rPr>
              <w:t>$8,000M–$8,200M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b/>
                <w:color w:val="30A46C"/>
                <w:sz w:val="22"/>
              </w:rPr>
              <w:t>+4.2% vs. $8,100M mid</w:t>
            </w:r>
          </w:p>
        </w:tc>
      </w:tr>
      <w:tr>
        <w:tc>
          <w:tcPr>
            <w:tcW w:type="dxa" w:w="1080"/>
          </w:tcPr>
          <w:p>
            <w:r>
              <w:rPr>
                <w:rFonts w:ascii="Calibri" w:hAnsi="Calibri"/>
                <w:sz w:val="22"/>
              </w:rPr>
              <w:t>RCS (FY2027)</w:t>
            </w:r>
          </w:p>
        </w:tc>
        <w:tc>
          <w:tcPr>
            <w:tcW w:type="dxa" w:w="1080"/>
          </w:tcPr>
          <w:p>
            <w:r>
              <w:rPr>
                <w:rFonts w:ascii="Calibri" w:hAnsi="Calibri"/>
                <w:sz w:val="22"/>
              </w:rPr>
              <w:t>$5,432M</w:t>
            </w:r>
          </w:p>
        </w:tc>
        <w:tc>
          <w:tcPr>
            <w:tcW w:type="dxa" w:w="1080"/>
          </w:tcPr>
          <w:p>
            <w:r>
              <w:rPr>
                <w:rFonts w:ascii="Calibri" w:hAnsi="Calibri"/>
                <w:sz w:val="22"/>
              </w:rPr>
              <w:t>$5,402M</w:t>
            </w:r>
          </w:p>
        </w:tc>
        <w:tc>
          <w:tcPr>
            <w:tcW w:type="dxa" w:w="1080"/>
          </w:tcPr>
          <w:p>
            <w:r>
              <w:rPr>
                <w:rFonts w:ascii="Calibri" w:hAnsi="Calibri"/>
                <w:sz w:val="22"/>
              </w:rPr>
              <w:t>-0.6%</w:t>
            </w:r>
          </w:p>
        </w:tc>
        <w:tc>
          <w:tcPr>
            <w:tcW w:type="dxa" w:w="1080"/>
          </w:tcPr>
          <w:p>
            <w:r>
              <w:rPr>
                <w:rFonts w:ascii="Calibri" w:hAnsi="Calibri"/>
                <w:sz w:val="22"/>
              </w:rPr>
              <w:t>Flat YoY (~$5,380M implied)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vs. guidance implied</w:t>
            </w:r>
          </w:p>
        </w:tc>
      </w:tr>
      <w:tr>
        <w:tc>
          <w:tcPr>
            <w:tcW w:type="dxa" w:w="1080"/>
          </w:tcPr>
          <w:p>
            <w:r>
              <w:rPr>
                <w:rFonts w:ascii="Calibri" w:hAnsi="Calibri"/>
                <w:sz w:val="22"/>
              </w:rPr>
              <w:t>EPS — Diluted Operating (FY2027)</w:t>
            </w:r>
          </w:p>
        </w:tc>
        <w:tc>
          <w:tcPr>
            <w:tcW w:type="dxa" w:w="1080"/>
          </w:tcPr>
          <w:p>
            <w:r>
              <w:rPr>
                <w:rFonts w:ascii="Calibri" w:hAnsi="Calibri"/>
                <w:sz w:val="22"/>
              </w:rPr>
              <w:t>$6.63</w:t>
            </w:r>
          </w:p>
        </w:tc>
        <w:tc>
          <w:tcPr>
            <w:tcW w:type="dxa" w:w="1080"/>
          </w:tcPr>
          <w:p>
            <w:r>
              <w:rPr>
                <w:rFonts w:ascii="Calibri" w:hAnsi="Calibri"/>
                <w:sz w:val="22"/>
              </w:rPr>
              <w:t>$6.70</w:t>
            </w:r>
          </w:p>
        </w:tc>
        <w:tc>
          <w:tcPr>
            <w:tcW w:type="dxa" w:w="1080"/>
          </w:tcPr>
          <w:p>
            <w:r>
              <w:rPr>
                <w:rFonts w:ascii="Calibri" w:hAnsi="Calibri"/>
                <w:sz w:val="22"/>
              </w:rPr>
              <w:t>+1.0%</w:t>
            </w:r>
          </w:p>
        </w:tc>
        <w:tc>
          <w:tcPr>
            <w:tcW w:type="dxa" w:w="1080"/>
          </w:tcPr>
          <w:p>
            <w:r>
              <w:rPr>
                <w:rFonts w:ascii="Calibri" w:hAnsi="Calibri"/>
                <w:sz w:val="22"/>
              </w:rPr>
              <w:t>N/A — no EPS guidance</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Estimates have been remarkably stable since the post-earnings baseline, with Q1 FY2027 net bookings essentially flat and FY2027 consensus running ~4% above the guidance midpoint. The RCS estimate for Q1 has actually moved up +5.4% since the post-print baseline, suggesting the Street is more optimistic on engagement than management's conservative -3% YoY guidance implies — consistent with the pattern of RCS beats over the past year.</w:t>
      </w:r>
    </w:p>
    <w:p>
      <w:r>
        <w:rPr>
          <w:rFonts w:ascii="Calibri" w:hAnsi="Calibri"/>
          <w:i/>
          <w:color w:val="525866"/>
          <w:sz w:val="22"/>
        </w:rPr>
        <w:t>Source: Visible Alpha consensus data; as-of date May 27, 2026 (5 trading days post Q4 FY2026 earnings). Current consensus as of August 6, 2026.</w:t>
      </w:r>
    </w:p>
    <w:p>
      <w:r>
        <w:br w:type="page"/>
      </w:r>
    </w:p>
    <w:p>
      <w:pPr>
        <w:pStyle w:val="Heading2"/>
      </w:pPr>
      <w:r>
        <w:rPr>
          <w:rFonts w:ascii="Calibri" w:hAnsi="Calibri"/>
          <w:b/>
          <w:color w:val="3B4259"/>
          <w:sz w:val="28"/>
        </w:rPr>
        <w:t>Stock Performance</w:t>
      </w:r>
    </w:p>
    <w:p>
      <w:r>
        <w:rPr>
          <w:rFonts w:ascii="Calibri" w:hAnsi="Calibri"/>
          <w:b/>
          <w:color w:val="525866"/>
          <w:sz w:val="22"/>
        </w:rPr>
        <w:t xml:space="preserve">Key Takeaway: </w:t>
      </w:r>
      <w:r>
        <w:rPr>
          <w:rFonts w:ascii="Calibri" w:hAnsi="Calibri"/>
          <w:color w:val="525866"/>
          <w:sz w:val="22"/>
        </w:rPr>
        <w:t>TTWO has underperformed both the S&amp;P 500 (+3.5%) and XLC Communications Services ETF (-4.2% vs. TTWO's -2.3%) since the May 21 earnings print, with the stock in a 'show me' mode as the market awaits GTA VI launch execution rather than rewarding the guidance upgrade. The mid-June surge on GTA VI marketing launch and pre-order opening was partially given back, suggesting the stock is range-bound until November.</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TTWO vs. XLC (Communication Services ETF) vs. S&amp;P 500 (SPY) — Indexed to 100 at May 21, 2026 last earnings date. Key events: GTA VI marketing campaign launch (Jun 16) and pre-orders open (Jun 25). Source: Yahoo Finance.</w:t>
      </w:r>
    </w:p>
    <w:p>
      <w:r>
        <w:rPr>
          <w:rFonts w:ascii="Calibri" w:hAnsi="Calibri"/>
          <w:color w:val="525866"/>
          <w:sz w:val="22"/>
        </w:rPr>
        <w:t>TTWO surged from ~$216 to ~$258 between June 10 and July 7 (+20%) driven by the GTA VI marketing campaign launch (June 16) and pre-order opening (June 25), before pulling back to the $232–$245 range. The XLC ETF has declined ~4% since earnings, reflecting broader communication services sector weakness, while the S&amp;P 500 has gained ~3.5%. TTWO's relative outperformance vs. XLC reflects GTA VI-specific optimism, but the stock has not held its peak gains, suggesting the market is treating the pre-order momentum as already partially priced in. Analyst consensus remains firmly bullish with 17 Buy/Strong Buy ratings, 1 Hold, and 1 Sell, and an average price target of ~$293 (vs. current ~$232), implying ~26% upside.</w:t>
      </w:r>
    </w:p>
    <w:p>
      <w:pPr>
        <w:pStyle w:val="Heading2"/>
      </w:pPr>
      <w:r>
        <w:rPr>
          <w:rFonts w:ascii="Calibri" w:hAnsi="Calibri"/>
          <w:b/>
          <w:color w:val="3B4259"/>
          <w:sz w:val="28"/>
        </w:rPr>
        <w:t>Peer Commentaries — Read-Through (Last 60 Days, Current Quarter Relevant)</w:t>
      </w:r>
    </w:p>
    <w:p>
      <w:r>
        <w:rPr>
          <w:rFonts w:ascii="Calibri" w:hAnsi="Calibri"/>
          <w:b/>
          <w:color w:val="525866"/>
          <w:sz w:val="22"/>
        </w:rPr>
        <w:t xml:space="preserve">Key Takeaway: </w:t>
      </w:r>
      <w:r>
        <w:rPr>
          <w:rFonts w:ascii="Calibri" w:hAnsi="Calibri"/>
          <w:color w:val="525866"/>
          <w:sz w:val="22"/>
        </w:rPr>
        <w:t>Peer commentary from Roblox (Q2 CY2026, reported July 30) and Playtika (Q2 CY2026, reported August 6) provides mixed read-throughs for TTWO's Q1 FY2027 (April–June 2026): mobile consumer spending softened mid-quarter on inflation/discretionary pressure (negative for Zynga mobile), but engagement hours and DAU trends remained broadly intact (neutral-to-positive for GTA Online and NBA 2K). Note: EA was taken private on August 4, 2026 and is no longer a public reporting peer.</w:t>
      </w:r>
    </w:p>
    <w:p>
      <w:pPr>
        <w:pStyle w:val="Heading3"/>
      </w:pPr>
      <w:r>
        <w:rPr>
          <w:rFonts w:ascii="Calibri" w:hAnsi="Calibri"/>
          <w:b/>
          <w:color w:val="3B4259"/>
          <w:sz w:val="24"/>
        </w:rPr>
        <w:t>Roblox (RBLX) — Q2 CY2026 Earnings (Reported July 30, 2026)</w:t>
      </w:r>
    </w:p>
    <w:p>
      <w:r>
        <w:rPr>
          <w:rFonts w:ascii="Calibri" w:hAnsi="Calibri"/>
          <w:b/>
          <w:color w:val="525866"/>
          <w:sz w:val="22"/>
        </w:rPr>
        <w:t xml:space="preserve">Relevance to TTWO Q1 FY2027: </w:t>
      </w:r>
      <w:r>
        <w:rPr>
          <w:rFonts w:ascii="Calibri" w:hAnsi="Calibri"/>
          <w:color w:val="525866"/>
          <w:sz w:val="22"/>
        </w:rPr>
        <w:t>Roblox's Q2 covers April–June 2026, the same calendar period as TTWO's Q1 FY2027. Roblox is a read-through on engagement trends, younger-cohort monetization, and the broader interactive entertainment spending environment.</w:t>
      </w:r>
    </w:p>
    <w:p>
      <w:pPr>
        <w:pStyle w:val="ListBullet"/>
        <w:ind w:left="360" w:hanging="360"/>
      </w:pPr>
      <w:r>
        <w:rPr>
          <w:rFonts w:ascii="Calibri" w:hAnsi="Calibri"/>
          <w:b/>
          <w:color w:val="525866"/>
          <w:sz w:val="22"/>
        </w:rPr>
        <w:t xml:space="preserve">Bookings missed at the low end of guidance ($1.557B, +8% YoY) due to a monetization shortfall, not an engagement shortfall. </w:t>
      </w:r>
      <w:r>
        <w:rPr>
          <w:rFonts w:ascii="Calibri" w:hAnsi="Calibri"/>
          <w:color w:val="525866"/>
          <w:sz w:val="22"/>
        </w:rPr>
        <w:t xml:space="preserve">DAUs of 123M (+10% YoY) and hours of 29B (+5% YoY) were in line with expectations — the miss was entirely in bookings-per-hour, particularly with under-13 cohorts in the U.S. and Canada. </w:t>
      </w:r>
    </w:p>
    <w:p>
      <w:pPr>
        <w:pStyle w:val="ListBullet"/>
        <w:ind w:left="360" w:hanging="360"/>
      </w:pPr>
      <w:r>
        <w:rPr>
          <w:rFonts w:ascii="Calibri" w:hAnsi="Calibri"/>
          <w:b/>
          <w:color w:val="525866"/>
          <w:sz w:val="22"/>
        </w:rPr>
        <w:t xml:space="preserve">Read-through for TTWO: </w:t>
      </w:r>
      <w:r>
        <w:rPr>
          <w:rFonts w:ascii="Calibri" w:hAnsi="Calibri"/>
          <w:color w:val="525866"/>
          <w:sz w:val="22"/>
        </w:rPr>
        <w:t>Engagement holding up while monetization softens is a mixed signal. For TTWO, NBA 2K and GTA Online serve older, higher-monetizing cohorts (18+), which Roblox noted are actually growing faster (U.S. 18–34 DAUs +40% YoY) and monetize 50%+ higher than under-18 users. The Roblox miss is more of a younger-cohort/casual gaming issue than a broad gaming engagement problem.</w:t>
      </w:r>
    </w:p>
    <w:p>
      <w:pPr>
        <w:pStyle w:val="ListBullet"/>
        <w:ind w:left="360" w:hanging="360"/>
      </w:pPr>
      <w:r>
        <w:rPr>
          <w:rFonts w:ascii="Calibri" w:hAnsi="Calibri"/>
          <w:b/>
          <w:color w:val="525866"/>
          <w:sz w:val="22"/>
        </w:rPr>
        <w:t xml:space="preserve">Algorithm-driven monetization trade-off: </w:t>
      </w:r>
      <w:r>
        <w:rPr>
          <w:rFonts w:ascii="Calibri" w:hAnsi="Calibri"/>
          <w:color w:val="525866"/>
          <w:sz w:val="22"/>
        </w:rPr>
        <w:t>Roblox's recommendation algorithm changes (prioritizing retention over near-term monetization) caused a greater-than-expected bookings drag in Q2. This is idiosyncratic to Roblox's platform and not directly applicable to TTWO's console/mobile titles, but it signals that engagement metrics can diverge from monetization in ways that surprise the Street.</w:t>
      </w:r>
    </w:p>
    <w:p>
      <w:pPr>
        <w:pStyle w:val="ListBullet"/>
        <w:ind w:left="360" w:hanging="360"/>
      </w:pPr>
      <w:r>
        <w:rPr>
          <w:rFonts w:ascii="Calibri" w:hAnsi="Calibri"/>
          <w:b/>
          <w:color w:val="525866"/>
          <w:sz w:val="22"/>
        </w:rPr>
        <w:t xml:space="preserve">Q3 CY2026 outlook (July–September): </w:t>
      </w:r>
      <w:r>
        <w:rPr>
          <w:rFonts w:ascii="Calibri" w:hAnsi="Calibri"/>
          <w:color w:val="525866"/>
          <w:sz w:val="22"/>
        </w:rPr>
        <w:t>Roblox guided Q3 bookings to $1.58–$1.65B, a 14–18% YoY decline, citing continued monetization weakness. This is a headwind for the broader interactive entertainment sentiment but is driven by Roblox-specific algorithm changes rather than industry-wide demand destruction.</w:t>
      </w:r>
    </w:p>
    <w:p>
      <w:pPr>
        <w:pStyle w:val="ListBullet"/>
        <w:ind w:left="360" w:hanging="360"/>
      </w:pPr>
      <w:r>
        <w:rPr>
          <w:rFonts w:ascii="Calibri" w:hAnsi="Calibri"/>
          <w:b/>
          <w:color w:val="525866"/>
          <w:sz w:val="22"/>
        </w:rPr>
        <w:t xml:space="preserve">International growth remains strong: </w:t>
      </w:r>
      <w:r>
        <w:rPr>
          <w:rFonts w:ascii="Calibri" w:hAnsi="Calibri"/>
          <w:color w:val="525866"/>
          <w:sz w:val="22"/>
        </w:rPr>
        <w:t>Japan DAUs +67%, India DAUs +64% YoY — consistent with TTWO management's commentary about developing markets as a long-term growth vector. Positive read-through for TTWO's international expansion thesis.</w:t>
      </w:r>
    </w:p>
    <w:p>
      <w:pPr>
        <w:pStyle w:val="Heading3"/>
      </w:pPr>
      <w:r>
        <w:rPr>
          <w:rFonts w:ascii="Calibri" w:hAnsi="Calibri"/>
          <w:b/>
          <w:color w:val="3B4259"/>
          <w:sz w:val="24"/>
        </w:rPr>
        <w:t>Playtika (PLTK) — Q2 CY2026 Earnings (Reported August 6, 2026)</w:t>
      </w:r>
    </w:p>
    <w:p>
      <w:r>
        <w:rPr>
          <w:rFonts w:ascii="Calibri" w:hAnsi="Calibri"/>
          <w:b/>
          <w:color w:val="525866"/>
          <w:sz w:val="22"/>
        </w:rPr>
        <w:t xml:space="preserve">Relevance to TTWO Q1 FY2027: </w:t>
      </w:r>
      <w:r>
        <w:rPr>
          <w:rFonts w:ascii="Calibri" w:hAnsi="Calibri"/>
          <w:color w:val="525866"/>
          <w:sz w:val="22"/>
        </w:rPr>
        <w:t>Playtika is a pure-play mobile gaming company and the most direct read-through for TTWO's Zynga mobile segment. Playtika's Q2 covers April–June 2026, the same calendar period as TTWO's Q1 FY2027.</w:t>
      </w:r>
    </w:p>
    <w:p>
      <w:pPr>
        <w:pStyle w:val="ListBullet"/>
        <w:ind w:left="360" w:hanging="360"/>
      </w:pPr>
      <w:r>
        <w:rPr>
          <w:rFonts w:ascii="Calibri" w:hAnsi="Calibri"/>
          <w:b/>
          <w:color w:val="525866"/>
          <w:sz w:val="22"/>
        </w:rPr>
        <w:t xml:space="preserve">Consumer spending softened mid-quarter (May–June) due to inflation pressure on discretionary spending. </w:t>
      </w:r>
      <w:r>
        <w:rPr>
          <w:rFonts w:ascii="Calibri" w:hAnsi="Calibri"/>
          <w:color w:val="525866"/>
          <w:sz w:val="22"/>
        </w:rPr>
        <w:t>Playtika's CFO explicitly noted: 'We saw that step down from May to June, and we have that level of seasonality every year. It's just that this year we saw a step down that was greater than what's typical.' This is a direct negative read-through for TTWO's Zynga mobile RCS in Q1 FY2027, which management had already guided down YoY.</w:t>
      </w:r>
    </w:p>
    <w:p>
      <w:pPr>
        <w:pStyle w:val="ListBullet"/>
        <w:ind w:left="360" w:hanging="360"/>
      </w:pPr>
      <w:r>
        <w:rPr>
          <w:rFonts w:ascii="Calibri" w:hAnsi="Calibri"/>
          <w:b/>
          <w:color w:val="525866"/>
          <w:sz w:val="22"/>
        </w:rPr>
        <w:t xml:space="preserve">Revenue of $731M (+5% YoY) was delivered despite the consumer softness, </w:t>
      </w:r>
      <w:r>
        <w:rPr>
          <w:rFonts w:ascii="Calibri" w:hAnsi="Calibri"/>
          <w:color w:val="525866"/>
          <w:sz w:val="22"/>
        </w:rPr>
        <w:t>with Adjusted EBITDA of $206M (28.2% margin, +64.6% sequentially). Disney Solitaire grew +15.5% sequentially and +289% YoY even as marketing spend was reduced — suggesting that high-quality, well-monetized mobile titles can outperform even in a soft consumer environment. Positive read-through for TTWO's Toon Blast and Match Factory! which management has highlighted as durable performers.</w:t>
      </w:r>
    </w:p>
    <w:p>
      <w:pPr>
        <w:pStyle w:val="ListBullet"/>
        <w:ind w:left="360" w:hanging="360"/>
      </w:pPr>
      <w:r>
        <w:rPr>
          <w:rFonts w:ascii="Calibri" w:hAnsi="Calibri"/>
          <w:b/>
          <w:color w:val="525866"/>
          <w:sz w:val="22"/>
        </w:rPr>
        <w:t xml:space="preserve">Direct-to-Consumer (DTC) revenue reached $287M (39.3% of revenue, +63% YoY). </w:t>
      </w:r>
      <w:r>
        <w:rPr>
          <w:rFonts w:ascii="Calibri" w:hAnsi="Calibri"/>
          <w:color w:val="525866"/>
          <w:sz w:val="22"/>
        </w:rPr>
        <w:t>This validates TTWO management's thesis that DTC is a meaningful margin expansion lever. TTWO noted DTC is now live across nearly all mobile titles and vastly exceeded Zynga acquisition synergy targets.</w:t>
      </w:r>
    </w:p>
    <w:p>
      <w:pPr>
        <w:pStyle w:val="ListBullet"/>
        <w:ind w:left="360" w:hanging="360"/>
      </w:pPr>
      <w:r>
        <w:rPr>
          <w:rFonts w:ascii="Calibri" w:hAnsi="Calibri"/>
          <w:b/>
          <w:color w:val="525866"/>
          <w:sz w:val="22"/>
        </w:rPr>
        <w:t xml:space="preserve">Playtika guiding to the lower end of full-year ranges ($2.75–$2.85B revenue, $750–$790M EBITDA) </w:t>
      </w:r>
      <w:r>
        <w:rPr>
          <w:rFonts w:ascii="Calibri" w:hAnsi="Calibri"/>
          <w:color w:val="525866"/>
          <w:sz w:val="22"/>
        </w:rPr>
        <w:t>due to consumer softness and planned H2 marketing step-down. This is a cautionary signal for TTWO's mobile RCS in Q2 FY2027 (July–September), though TTWO's mobile guidance was already conservative.</w:t>
      </w:r>
    </w:p>
    <w:p>
      <w:pPr>
        <w:pStyle w:val="ListBullet"/>
        <w:ind w:left="360" w:hanging="360"/>
      </w:pPr>
      <w:r>
        <w:rPr>
          <w:rFonts w:ascii="Calibri" w:hAnsi="Calibri"/>
          <w:b/>
          <w:color w:val="525866"/>
          <w:sz w:val="22"/>
        </w:rPr>
        <w:t xml:space="preserve">Long-tenured player engagement remains the key differentiator: </w:t>
      </w:r>
      <w:r>
        <w:rPr>
          <w:rFonts w:ascii="Calibri" w:hAnsi="Calibri"/>
          <w:color w:val="525866"/>
          <w:sz w:val="22"/>
        </w:rPr>
        <w:t>Playtika's CEO emphasized that players acquired years ago continue to drive the majority of revenue, consistent with TTWO's commentary on Toon Blast's 14-year-old player base driving growth through deeper engagement rather than new user acquisition. Validates TTWO's live-service monetization model.</w:t>
      </w:r>
    </w:p>
    <w:p>
      <w:pPr>
        <w:pStyle w:val="ListBullet"/>
        <w:ind w:left="360" w:hanging="360"/>
      </w:pPr>
      <w:r>
        <w:rPr>
          <w:rFonts w:ascii="Calibri" w:hAnsi="Calibri"/>
          <w:b/>
          <w:color w:val="525866"/>
          <w:sz w:val="22"/>
        </w:rPr>
        <w:t xml:space="preserve">Inflation/macro risk is real for mobile: </w:t>
      </w:r>
      <w:r>
        <w:rPr>
          <w:rFonts w:ascii="Calibri" w:hAnsi="Calibri"/>
          <w:color w:val="525866"/>
          <w:sz w:val="22"/>
        </w:rPr>
        <w:t>Playtika explicitly cited 'persistent inflation pressure on discretionary spending' as weighing on mobile gaming. This is the most direct negative read-through for TTWO's Zynga segment and supports management's conservative mobile RCS guidance for Q1 FY2027.</w:t>
      </w:r>
    </w:p>
    <w:p>
      <w:r>
        <w:rPr>
          <w:rFonts w:ascii="Calibri" w:hAnsi="Calibri"/>
          <w:b/>
          <w:color w:val="525866"/>
          <w:sz w:val="22"/>
        </w:rPr>
        <w:t xml:space="preserve">Overall Peer Read-Through Assessment: </w:t>
      </w:r>
      <w:r>
        <w:rPr>
          <w:rFonts w:ascii="Calibri" w:hAnsi="Calibri"/>
          <w:color w:val="525866"/>
          <w:sz w:val="22"/>
        </w:rPr>
        <w:t>The peer data is net negative for TTWO's mobile segment (Zynga) but neutral-to-positive for console/PC (NBA 2K, GTA Online). The consumer softness in mobile is consistent with TTWO's own conservative guidance and does not represent a new risk — it validates management's decision to guide mobile RCS down. The more important question for the Q1 print is whether NBA 2K's high-single-digit RCS growth assumption held, and whether GTA Online's guided decline was as steep as feared.</w:t>
      </w:r>
    </w:p>
    <w:p>
      <w:r>
        <w:br w:type="page"/>
      </w:r>
    </w:p>
    <w:p>
      <w:pPr>
        <w:pStyle w:val="Heading2"/>
      </w:pPr>
      <w:r>
        <w:rPr>
          <w:rFonts w:ascii="Calibri" w:hAnsi="Calibri"/>
          <w:b/>
          <w:color w:val="3B4259"/>
          <w:sz w:val="28"/>
        </w:rPr>
        <w:t>Material News &amp; Developments</w:t>
      </w:r>
    </w:p>
    <w:p>
      <w:r>
        <w:rPr>
          <w:rFonts w:ascii="Calibri" w:hAnsi="Calibri"/>
          <w:b/>
          <w:color w:val="525866"/>
          <w:sz w:val="22"/>
        </w:rPr>
        <w:t xml:space="preserve">Key Takeaway: </w:t>
      </w:r>
      <w:r>
        <w:rPr>
          <w:rFonts w:ascii="Calibri" w:hAnsi="Calibri"/>
          <w:color w:val="525866"/>
          <w:sz w:val="22"/>
        </w:rPr>
        <w:t>The dominant development since the May 21 earnings call is the GTA VI pre-order launch on June 25, which Newzoo estimates generated ~$260M in global digital pre-order spend in its first week — the strongest pre-order campaign ever recorded. This is the single most important data point for the FY2027 investment thesis.</w:t>
      </w:r>
    </w:p>
    <w:p>
      <w:pPr>
        <w:pStyle w:val="ListBullet"/>
        <w:ind w:left="360" w:hanging="360"/>
      </w:pPr>
      <w:r>
        <w:rPr>
          <w:rFonts w:ascii="Calibri" w:hAnsi="Calibri"/>
          <w:b/>
          <w:color w:val="525866"/>
          <w:sz w:val="22"/>
        </w:rPr>
        <w:t xml:space="preserve">June 25, 2026 — GTA VI Pre-Orders Open at $79.99 (Standard) / $99.99 (Ultimate Edition). </w:t>
      </w:r>
      <w:r>
        <w:rPr>
          <w:rFonts w:ascii="Calibri" w:hAnsi="Calibri"/>
          <w:color w:val="525866"/>
          <w:sz w:val="22"/>
        </w:rPr>
        <w:t xml:space="preserve">Rockstar announced pre-orders beginning at midnight local time on June 25. The game launches November 19, 2026 for PS5 and Xbox Series X|S. Pre-orders include the Vintage Vice City Pack and a free month of GTA+. Digital pre-orders allow pre-loading from November 12. </w:t>
      </w:r>
      <w:r>
        <w:rPr>
          <w:rFonts w:ascii="Calibri" w:hAnsi="Calibri"/>
          <w:b/>
          <w:color w:val="525866"/>
          <w:sz w:val="22"/>
        </w:rPr>
        <w:t xml:space="preserve">Implication: </w:t>
      </w:r>
      <w:r>
        <w:rPr>
          <w:rFonts w:ascii="Calibri" w:hAnsi="Calibri"/>
          <w:color w:val="525866"/>
          <w:sz w:val="22"/>
        </w:rPr>
        <w:t>Pre-order opening is a key monetization event that will show up in Q2 FY2027 (July–September) deferred revenue, not Q1. However, management may provide qualitative commentary on pre-order trajectory on the Q1 call.</w:t>
      </w:r>
    </w:p>
    <w:p>
      <w:pPr>
        <w:pStyle w:val="ListBullet"/>
        <w:ind w:left="360" w:hanging="360"/>
      </w:pPr>
      <w:r>
        <w:rPr>
          <w:rFonts w:ascii="Calibri" w:hAnsi="Calibri"/>
          <w:b/>
          <w:color w:val="525866"/>
          <w:sz w:val="22"/>
        </w:rPr>
        <w:t xml:space="preserve">July 16, 2026 — Newzoo Estimates GTA VI Pre-Orders at ~$260M in First Week (Strongest Ever Recorded). </w:t>
      </w:r>
      <w:r>
        <w:rPr>
          <w:rFonts w:ascii="Calibri" w:hAnsi="Calibri"/>
          <w:color w:val="525866"/>
          <w:sz w:val="22"/>
        </w:rPr>
        <w:t xml:space="preserve">Newzoo tracked ~$180M in digital pre-order spend across the U.S. and five largest European markets in the final week of June, scaling to a ~$260M global estimate. The firm projects first-week launch sales of $3.25B–$5.2B (37–51M units). </w:t>
      </w:r>
      <w:r>
        <w:rPr>
          <w:rFonts w:ascii="Calibri" w:hAnsi="Calibri"/>
          <w:b/>
          <w:color w:val="525866"/>
          <w:sz w:val="22"/>
        </w:rPr>
        <w:t xml:space="preserve">Implication: </w:t>
      </w:r>
      <w:r>
        <w:rPr>
          <w:rFonts w:ascii="Calibri" w:hAnsi="Calibri"/>
          <w:color w:val="525866"/>
          <w:sz w:val="22"/>
        </w:rPr>
        <w:t>These are estimates, not disclosed figures, but they represent the strongest independent data point on GTA VI demand. Even the low end of Newzoo's range would be a record-breaking launch. Management has not confirmed any pre-order figures.</w:t>
      </w:r>
    </w:p>
    <w:p>
      <w:pPr>
        <w:pStyle w:val="ListBullet"/>
        <w:ind w:left="360" w:hanging="360"/>
      </w:pPr>
      <w:r>
        <w:rPr>
          <w:rFonts w:ascii="Calibri" w:hAnsi="Calibri"/>
          <w:b/>
          <w:color w:val="525866"/>
          <w:sz w:val="22"/>
        </w:rPr>
        <w:t xml:space="preserve">June 16, 2026 — GTA VI Marketing Campaign Officially Launches. </w:t>
      </w:r>
      <w:r>
        <w:rPr>
          <w:rFonts w:ascii="Calibri" w:hAnsi="Calibri"/>
          <w:color w:val="525866"/>
          <w:sz w:val="22"/>
        </w:rPr>
        <w:t xml:space="preserve">Rockstar began its summer marketing campaign as promised on the Q4 earnings call. The stock surged from ~$216 to ~$230 on this date (+6.5%). </w:t>
      </w:r>
      <w:r>
        <w:rPr>
          <w:rFonts w:ascii="Calibri" w:hAnsi="Calibri"/>
          <w:b/>
          <w:color w:val="525866"/>
          <w:sz w:val="22"/>
        </w:rPr>
        <w:t xml:space="preserve">Implication: </w:t>
      </w:r>
      <w:r>
        <w:rPr>
          <w:rFonts w:ascii="Calibri" w:hAnsi="Calibri"/>
          <w:color w:val="525866"/>
          <w:sz w:val="22"/>
        </w:rPr>
        <w:t>Confirms execution on the marketing timeline embedded in FY2027 guidance. Marketing spend will be a headwind to Q1 FY2027 operating income.</w:t>
      </w:r>
    </w:p>
    <w:p>
      <w:pPr>
        <w:pStyle w:val="ListBullet"/>
        <w:ind w:left="360" w:hanging="360"/>
      </w:pPr>
      <w:r>
        <w:rPr>
          <w:rFonts w:ascii="Calibri" w:hAnsi="Calibri"/>
          <w:b/>
          <w:color w:val="525866"/>
          <w:sz w:val="22"/>
        </w:rPr>
        <w:t xml:space="preserve">August 4, 2026 — Electronic Arts Acquired by PIF/Silver Lake/Affinity Consortium for ~$55B ($210/share). </w:t>
      </w:r>
      <w:r>
        <w:rPr>
          <w:rFonts w:ascii="Calibri" w:hAnsi="Calibri"/>
          <w:color w:val="525866"/>
          <w:sz w:val="22"/>
        </w:rPr>
        <w:t xml:space="preserve">EA was delisted from Nasdaq on August 5. The consortium cited AI investment and entertainment/sports as strategic priorities. </w:t>
      </w:r>
      <w:r>
        <w:rPr>
          <w:rFonts w:ascii="Calibri" w:hAnsi="Calibri"/>
          <w:b/>
          <w:color w:val="525866"/>
          <w:sz w:val="22"/>
        </w:rPr>
        <w:t xml:space="preserve">Implication: </w:t>
      </w:r>
      <w:r>
        <w:rPr>
          <w:rFonts w:ascii="Calibri" w:hAnsi="Calibri"/>
          <w:color w:val="525866"/>
          <w:sz w:val="22"/>
        </w:rPr>
        <w:t>EA's removal from the public market reduces the competitive intelligence available on the console gaming market. More importantly, it validates the strategic value of large gaming IP portfolios and could support TTWO's valuation multiple as one of the few remaining large-cap pure-play gaming companies.</w:t>
      </w:r>
    </w:p>
    <w:p>
      <w:pPr>
        <w:pStyle w:val="ListBullet"/>
        <w:ind w:left="360" w:hanging="360"/>
      </w:pPr>
      <w:r>
        <w:rPr>
          <w:rFonts w:ascii="Calibri" w:hAnsi="Calibri"/>
          <w:b/>
          <w:color w:val="525866"/>
          <w:sz w:val="22"/>
        </w:rPr>
        <w:t>July 7, 2026 — Wells Fargo Raises TTWO Price Target to $289 (from $287), Maintains Overweight.</w:t>
      </w:r>
    </w:p>
    <w:p>
      <w:pPr>
        <w:pStyle w:val="ListBullet"/>
        <w:ind w:left="360" w:hanging="360"/>
      </w:pPr>
      <w:r>
        <w:rPr>
          <w:rFonts w:ascii="Calibri" w:hAnsi="Calibri"/>
          <w:b/>
          <w:color w:val="525866"/>
          <w:sz w:val="22"/>
        </w:rPr>
        <w:t>July 2, 2026 — BTIG Reiterates Buy, $293 Price Target.</w:t>
      </w:r>
    </w:p>
    <w:p>
      <w:pPr>
        <w:pStyle w:val="ListBullet"/>
        <w:ind w:left="360" w:hanging="360"/>
      </w:pPr>
      <w:r>
        <w:rPr>
          <w:rFonts w:ascii="Calibri" w:hAnsi="Calibri"/>
          <w:b/>
          <w:color w:val="525866"/>
          <w:sz w:val="22"/>
        </w:rPr>
        <w:t>June 25, 2026 — BMO Capital Markets Raises Price Target to $285 (from $280), Maintains Outperform.</w:t>
      </w:r>
    </w:p>
    <w:p>
      <w:pPr>
        <w:pStyle w:val="ListBullet"/>
        <w:ind w:left="360" w:hanging="360"/>
      </w:pPr>
      <w:r>
        <w:rPr>
          <w:rFonts w:ascii="Calibri" w:hAnsi="Calibri"/>
          <w:b/>
          <w:color w:val="525866"/>
          <w:sz w:val="22"/>
        </w:rPr>
        <w:t xml:space="preserve">June 23, 2026 — Bank of America Raises Price Target to $368 (from $320), Maintains Buy. </w:t>
      </w:r>
      <w:r>
        <w:rPr>
          <w:rFonts w:ascii="Calibri" w:hAnsi="Calibri"/>
          <w:color w:val="525866"/>
          <w:sz w:val="22"/>
        </w:rPr>
        <w:t>The most aggressive PT on the Street, implying ~59% upside from current levels.</w:t>
      </w:r>
    </w:p>
    <w:p>
      <w:pPr>
        <w:pStyle w:val="ListBullet"/>
        <w:ind w:left="360" w:hanging="360"/>
      </w:pPr>
      <w:r>
        <w:rPr>
          <w:rFonts w:ascii="Calibri" w:hAnsi="Calibri"/>
          <w:b/>
          <w:color w:val="525866"/>
          <w:sz w:val="22"/>
        </w:rPr>
        <w:t>June 16, 2026 — Piper Sandler Reiterates Outperform, $300 Price Target.</w:t>
      </w:r>
    </w:p>
    <w:p>
      <w:pPr>
        <w:pStyle w:val="ListBullet"/>
        <w:ind w:left="360" w:hanging="360"/>
      </w:pPr>
      <w:r>
        <w:rPr>
          <w:rFonts w:ascii="Calibri" w:hAnsi="Calibri"/>
          <w:b/>
          <w:color w:val="525866"/>
          <w:sz w:val="22"/>
        </w:rPr>
        <w:t>July 9, 2026 — TTWO Announces Q1 FY2027 Earnings Date of August 7, 2026.</w:t>
      </w:r>
    </w:p>
    <w:p>
      <w:pPr>
        <w:pStyle w:val="Heading2"/>
      </w:pPr>
      <w:r>
        <w:rPr>
          <w:rFonts w:ascii="Calibri" w:hAnsi="Calibri"/>
          <w:b/>
          <w:color w:val="3B4259"/>
          <w:sz w:val="28"/>
        </w:rPr>
        <w:t>Insider Transaction Activity</w:t>
      </w:r>
    </w:p>
    <w:p>
      <w:r>
        <w:rPr>
          <w:rFonts w:ascii="Calibri" w:hAnsi="Calibri"/>
          <w:b/>
          <w:color w:val="525866"/>
          <w:sz w:val="22"/>
        </w:rPr>
        <w:t xml:space="preserve">Key Takeaway: </w:t>
      </w:r>
      <w:r>
        <w:rPr>
          <w:rFonts w:ascii="Calibri" w:hAnsi="Calibri"/>
          <w:color w:val="525866"/>
          <w:sz w:val="22"/>
        </w:rPr>
        <w:t>All insider activity since the May 21 earnings call has been sales — no open-market purchases. The majority are 10b5-1 planned sales (pre-scheduled), which are obligation-driven and carry limited informational value. The two discretionary sales by Director Jon Moses (500 shares each, not on a 10b5-1 plan) are worth noting but are small in size.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Ellen F. Siminoff</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334 (167 × 2 trusts)</w:t>
            </w:r>
          </w:p>
        </w:tc>
        <w:tc>
          <w:tcPr>
            <w:tcW w:type="dxa" w:w="1440"/>
          </w:tcPr>
          <w:p>
            <w:r>
              <w:rPr>
                <w:rFonts w:ascii="Calibri" w:hAnsi="Calibri"/>
                <w:sz w:val="22"/>
              </w:rPr>
              <w:t>Jul 1, 2026</w:t>
            </w:r>
          </w:p>
        </w:tc>
        <w:tc>
          <w:tcPr>
            <w:tcW w:type="dxa" w:w="1440"/>
          </w:tcPr>
          <w:p>
            <w:r>
              <w:rPr>
                <w:rFonts w:ascii="Calibri" w:hAnsi="Calibri"/>
                <w:sz w:val="22"/>
              </w:rPr>
              <w:t>Pre-scheduled 10b5-1 plan; sold via EFS 2020 Irrevocable Trust and D&amp;E Living Trust. Obligation-driven.</w:t>
            </w:r>
          </w:p>
        </w:tc>
      </w:tr>
      <w:tr>
        <w:tc>
          <w:tcPr>
            <w:tcW w:type="dxa" w:w="1440"/>
          </w:tcPr>
          <w:p>
            <w:r>
              <w:rPr>
                <w:rFonts w:ascii="Calibri" w:hAnsi="Calibri"/>
                <w:sz w:val="22"/>
              </w:rPr>
              <w:t>Jon J. Moses</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500</w:t>
            </w:r>
          </w:p>
        </w:tc>
        <w:tc>
          <w:tcPr>
            <w:tcW w:type="dxa" w:w="1440"/>
          </w:tcPr>
          <w:p>
            <w:r>
              <w:rPr>
                <w:rFonts w:ascii="Calibri" w:hAnsi="Calibri"/>
                <w:sz w:val="22"/>
              </w:rPr>
              <w:t>Jun 22, 2026</w:t>
            </w:r>
          </w:p>
        </w:tc>
        <w:tc>
          <w:tcPr>
            <w:tcW w:type="dxa" w:w="1440"/>
          </w:tcPr>
          <w:p>
            <w:r>
              <w:rPr>
                <w:rFonts w:ascii="Calibri" w:hAnsi="Calibri"/>
                <w:sz w:val="22"/>
              </w:rPr>
              <w:t>Discretionary sale (no 10b5-1 plan). Small size; retains 21,868 shares.</w:t>
            </w:r>
          </w:p>
        </w:tc>
      </w:tr>
      <w:tr>
        <w:tc>
          <w:tcPr>
            <w:tcW w:type="dxa" w:w="1440"/>
          </w:tcPr>
          <w:p>
            <w:r>
              <w:rPr>
                <w:rFonts w:ascii="Calibri" w:hAnsi="Calibri"/>
                <w:sz w:val="22"/>
              </w:rPr>
              <w:t>Daniel P. Emerson</w:t>
            </w:r>
          </w:p>
        </w:tc>
        <w:tc>
          <w:tcPr>
            <w:tcW w:type="dxa" w:w="1440"/>
          </w:tcPr>
          <w:p>
            <w:r>
              <w:rPr>
                <w:rFonts w:ascii="Calibri" w:hAnsi="Calibri"/>
                <w:sz w:val="22"/>
              </w:rPr>
              <w:t>Chief Legal Officer</w:t>
            </w:r>
          </w:p>
        </w:tc>
        <w:tc>
          <w:tcPr>
            <w:tcW w:type="dxa" w:w="1440"/>
          </w:tcPr>
          <w:p>
            <w:r>
              <w:rPr>
                <w:rFonts w:ascii="Calibri" w:hAnsi="Calibri"/>
                <w:sz w:val="22"/>
              </w:rPr>
              <w:t>10b5-1 Planned Sale</w:t>
            </w:r>
          </w:p>
        </w:tc>
        <w:tc>
          <w:tcPr>
            <w:tcW w:type="dxa" w:w="1440"/>
          </w:tcPr>
          <w:p>
            <w:r>
              <w:rPr>
                <w:rFonts w:ascii="Calibri" w:hAnsi="Calibri"/>
                <w:sz w:val="22"/>
              </w:rPr>
              <w:t>4,419</w:t>
            </w:r>
          </w:p>
        </w:tc>
        <w:tc>
          <w:tcPr>
            <w:tcW w:type="dxa" w:w="1440"/>
          </w:tcPr>
          <w:p>
            <w:r>
              <w:rPr>
                <w:rFonts w:ascii="Calibri" w:hAnsi="Calibri"/>
                <w:sz w:val="22"/>
              </w:rPr>
              <w:t>Jun 16, 2026</w:t>
            </w:r>
          </w:p>
        </w:tc>
        <w:tc>
          <w:tcPr>
            <w:tcW w:type="dxa" w:w="1440"/>
          </w:tcPr>
          <w:p>
            <w:r>
              <w:rPr>
                <w:rFonts w:ascii="Calibri" w:hAnsi="Calibri"/>
                <w:sz w:val="22"/>
              </w:rPr>
              <w:t>Pre-scheduled 10b5-1 plan. Obligation-driven.</w:t>
            </w:r>
          </w:p>
        </w:tc>
      </w:tr>
      <w:tr>
        <w:tc>
          <w:tcPr>
            <w:tcW w:type="dxa" w:w="1440"/>
          </w:tcPr>
          <w:p>
            <w:r>
              <w:rPr>
                <w:rFonts w:ascii="Calibri" w:hAnsi="Calibri"/>
                <w:sz w:val="22"/>
              </w:rPr>
              <w:t>Jon J. Moses</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500</w:t>
            </w:r>
          </w:p>
        </w:tc>
        <w:tc>
          <w:tcPr>
            <w:tcW w:type="dxa" w:w="1440"/>
          </w:tcPr>
          <w:p>
            <w:r>
              <w:rPr>
                <w:rFonts w:ascii="Calibri" w:hAnsi="Calibri"/>
                <w:sz w:val="22"/>
              </w:rPr>
              <w:t>Jun 15, 2026</w:t>
            </w:r>
          </w:p>
        </w:tc>
        <w:tc>
          <w:tcPr>
            <w:tcW w:type="dxa" w:w="1440"/>
          </w:tcPr>
          <w:p>
            <w:r>
              <w:rPr>
                <w:rFonts w:ascii="Calibri" w:hAnsi="Calibri"/>
                <w:sz w:val="22"/>
              </w:rPr>
              <w:t>Discretionary sale (no 10b5-1 plan). Small size; retains 22,368 shares.</w:t>
            </w:r>
          </w:p>
        </w:tc>
      </w:tr>
      <w:tr>
        <w:tc>
          <w:tcPr>
            <w:tcW w:type="dxa" w:w="1440"/>
          </w:tcPr>
          <w:p>
            <w:r>
              <w:rPr>
                <w:rFonts w:ascii="Calibri" w:hAnsi="Calibri"/>
                <w:sz w:val="22"/>
              </w:rPr>
              <w:t>Daniel P. Emerson</w:t>
            </w:r>
          </w:p>
        </w:tc>
        <w:tc>
          <w:tcPr>
            <w:tcW w:type="dxa" w:w="1440"/>
          </w:tcPr>
          <w:p>
            <w:r>
              <w:rPr>
                <w:rFonts w:ascii="Calibri" w:hAnsi="Calibri"/>
                <w:sz w:val="22"/>
              </w:rPr>
              <w:t>Chief Legal Officer</w:t>
            </w:r>
          </w:p>
        </w:tc>
        <w:tc>
          <w:tcPr>
            <w:tcW w:type="dxa" w:w="1440"/>
          </w:tcPr>
          <w:p>
            <w:r>
              <w:rPr>
                <w:rFonts w:ascii="Calibri" w:hAnsi="Calibri"/>
                <w:sz w:val="22"/>
              </w:rPr>
              <w:t>10b5-1 Planned Sale</w:t>
            </w:r>
          </w:p>
        </w:tc>
        <w:tc>
          <w:tcPr>
            <w:tcW w:type="dxa" w:w="1440"/>
          </w:tcPr>
          <w:p>
            <w:r>
              <w:rPr>
                <w:rFonts w:ascii="Calibri" w:hAnsi="Calibri"/>
                <w:sz w:val="22"/>
              </w:rPr>
              <w:t>4,421</w:t>
            </w:r>
          </w:p>
        </w:tc>
        <w:tc>
          <w:tcPr>
            <w:tcW w:type="dxa" w:w="1440"/>
          </w:tcPr>
          <w:p>
            <w:r>
              <w:rPr>
                <w:rFonts w:ascii="Calibri" w:hAnsi="Calibri"/>
                <w:sz w:val="22"/>
              </w:rPr>
              <w:t>Jun 15, 2026</w:t>
            </w:r>
          </w:p>
        </w:tc>
        <w:tc>
          <w:tcPr>
            <w:tcW w:type="dxa" w:w="1440"/>
          </w:tcPr>
          <w:p>
            <w:r>
              <w:rPr>
                <w:rFonts w:ascii="Calibri" w:hAnsi="Calibri"/>
                <w:sz w:val="22"/>
              </w:rPr>
              <w:t>Pre-scheduled 10b5-1 plan. Obligation-driven.</w:t>
            </w:r>
          </w:p>
        </w:tc>
      </w:tr>
      <w:tr>
        <w:tc>
          <w:tcPr>
            <w:tcW w:type="dxa" w:w="1440"/>
          </w:tcPr>
          <w:p>
            <w:r>
              <w:rPr>
                <w:rFonts w:ascii="Calibri" w:hAnsi="Calibri"/>
                <w:sz w:val="22"/>
              </w:rPr>
              <w:t>Daniel P. Emerson</w:t>
            </w:r>
          </w:p>
        </w:tc>
        <w:tc>
          <w:tcPr>
            <w:tcW w:type="dxa" w:w="1440"/>
          </w:tcPr>
          <w:p>
            <w:r>
              <w:rPr>
                <w:rFonts w:ascii="Calibri" w:hAnsi="Calibri"/>
                <w:sz w:val="22"/>
              </w:rPr>
              <w:t>Chief Legal Officer</w:t>
            </w:r>
          </w:p>
        </w:tc>
        <w:tc>
          <w:tcPr>
            <w:tcW w:type="dxa" w:w="1440"/>
          </w:tcPr>
          <w:p>
            <w:r>
              <w:rPr>
                <w:rFonts w:ascii="Calibri" w:hAnsi="Calibri"/>
                <w:sz w:val="22"/>
              </w:rPr>
              <w:t>10b5-1 Planned Sale</w:t>
            </w:r>
          </w:p>
        </w:tc>
        <w:tc>
          <w:tcPr>
            <w:tcW w:type="dxa" w:w="1440"/>
          </w:tcPr>
          <w:p>
            <w:r>
              <w:rPr>
                <w:rFonts w:ascii="Calibri" w:hAnsi="Calibri"/>
                <w:sz w:val="22"/>
              </w:rPr>
              <w:t>8,840</w:t>
            </w:r>
          </w:p>
        </w:tc>
        <w:tc>
          <w:tcPr>
            <w:tcW w:type="dxa" w:w="1440"/>
          </w:tcPr>
          <w:p>
            <w:r>
              <w:rPr>
                <w:rFonts w:ascii="Calibri" w:hAnsi="Calibri"/>
                <w:sz w:val="22"/>
              </w:rPr>
              <w:t>Jun 8, 2026</w:t>
            </w:r>
          </w:p>
        </w:tc>
        <w:tc>
          <w:tcPr>
            <w:tcW w:type="dxa" w:w="1440"/>
          </w:tcPr>
          <w:p>
            <w:r>
              <w:rPr>
                <w:rFonts w:ascii="Calibri" w:hAnsi="Calibri"/>
                <w:sz w:val="22"/>
              </w:rPr>
              <w:t>Pre-scheduled 10b5-1 plan. Largest single transaction in the period. Obligation-driven.</w:t>
            </w:r>
          </w:p>
        </w:tc>
      </w:tr>
      <w:tr>
        <w:tc>
          <w:tcPr>
            <w:tcW w:type="dxa" w:w="1440"/>
          </w:tcPr>
          <w:p>
            <w:r>
              <w:rPr>
                <w:rFonts w:ascii="Calibri" w:hAnsi="Calibri"/>
                <w:sz w:val="22"/>
              </w:rPr>
              <w:t>Michael Dornemann</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1,151</w:t>
            </w:r>
          </w:p>
        </w:tc>
        <w:tc>
          <w:tcPr>
            <w:tcW w:type="dxa" w:w="1440"/>
          </w:tcPr>
          <w:p>
            <w:r>
              <w:rPr>
                <w:rFonts w:ascii="Calibri" w:hAnsi="Calibri"/>
                <w:sz w:val="22"/>
              </w:rPr>
              <w:t>Jun 4, 2026</w:t>
            </w:r>
          </w:p>
        </w:tc>
        <w:tc>
          <w:tcPr>
            <w:tcW w:type="dxa" w:w="1440"/>
          </w:tcPr>
          <w:p>
            <w:r>
              <w:rPr>
                <w:rFonts w:ascii="Calibri" w:hAnsi="Calibri"/>
                <w:sz w:val="22"/>
              </w:rPr>
              <w:t>Discretionary sale (no 10b5-1 plan). Retains 20,374 shares.</w:t>
            </w:r>
          </w:p>
        </w:tc>
      </w:tr>
      <w:tr>
        <w:tc>
          <w:tcPr>
            <w:tcW w:type="dxa" w:w="1440"/>
          </w:tcPr>
          <w:p>
            <w:r>
              <w:rPr>
                <w:rFonts w:ascii="Calibri" w:hAnsi="Calibri"/>
                <w:sz w:val="22"/>
              </w:rPr>
              <w:t>LaVerne Evans Srinivasan</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373</w:t>
            </w:r>
          </w:p>
        </w:tc>
        <w:tc>
          <w:tcPr>
            <w:tcW w:type="dxa" w:w="1440"/>
          </w:tcPr>
          <w:p>
            <w:r>
              <w:rPr>
                <w:rFonts w:ascii="Calibri" w:hAnsi="Calibri"/>
                <w:sz w:val="22"/>
              </w:rPr>
              <w:t>Jun 1, 2026</w:t>
            </w:r>
          </w:p>
        </w:tc>
        <w:tc>
          <w:tcPr>
            <w:tcW w:type="dxa" w:w="1440"/>
          </w:tcPr>
          <w:p>
            <w:r>
              <w:rPr>
                <w:rFonts w:ascii="Calibri" w:hAnsi="Calibri"/>
                <w:sz w:val="22"/>
              </w:rPr>
              <w:t>Discretionary sale (no 10b5-1 plan). Small size; retains 8,719 shares.</w:t>
            </w:r>
          </w:p>
        </w:tc>
      </w:tr>
      <w:tr>
        <w:tc>
          <w:tcPr>
            <w:tcW w:type="dxa" w:w="1440"/>
          </w:tcPr>
          <w:p>
            <w:r>
              <w:rPr>
                <w:rFonts w:ascii="Calibri" w:hAnsi="Calibri"/>
                <w:sz w:val="22"/>
              </w:rPr>
              <w:t>Michael Sheresky</w:t>
            </w:r>
          </w:p>
        </w:tc>
        <w:tc>
          <w:tcPr>
            <w:tcW w:type="dxa" w:w="1440"/>
          </w:tcPr>
          <w:p>
            <w:r>
              <w:rPr>
                <w:rFonts w:ascii="Calibri" w:hAnsi="Calibri"/>
                <w:sz w:val="22"/>
              </w:rPr>
              <w:t>Director</w:t>
            </w:r>
          </w:p>
        </w:tc>
        <w:tc>
          <w:tcPr>
            <w:tcW w:type="dxa" w:w="1440"/>
          </w:tcPr>
          <w:p>
            <w:r>
              <w:rPr>
                <w:rFonts w:ascii="Calibri" w:hAnsi="Calibri"/>
                <w:sz w:val="22"/>
              </w:rPr>
              <w:t>10b5-1 Planned Sale</w:t>
            </w:r>
          </w:p>
        </w:tc>
        <w:tc>
          <w:tcPr>
            <w:tcW w:type="dxa" w:w="1440"/>
          </w:tcPr>
          <w:p>
            <w:r>
              <w:rPr>
                <w:rFonts w:ascii="Calibri" w:hAnsi="Calibri"/>
                <w:sz w:val="22"/>
              </w:rPr>
              <w:t>131</w:t>
            </w:r>
          </w:p>
        </w:tc>
        <w:tc>
          <w:tcPr>
            <w:tcW w:type="dxa" w:w="1440"/>
          </w:tcPr>
          <w:p>
            <w:r>
              <w:rPr>
                <w:rFonts w:ascii="Calibri" w:hAnsi="Calibri"/>
                <w:sz w:val="22"/>
              </w:rPr>
              <w:t>May 29, 2026</w:t>
            </w:r>
          </w:p>
        </w:tc>
        <w:tc>
          <w:tcPr>
            <w:tcW w:type="dxa" w:w="1440"/>
          </w:tcPr>
          <w:p>
            <w:r>
              <w:rPr>
                <w:rFonts w:ascii="Calibri" w:hAnsi="Calibri"/>
                <w:sz w:val="22"/>
              </w:rPr>
              <w:t>Pre-scheduled 10b5-1 plan. Very small size. Obligation-driven.</w:t>
            </w:r>
          </w:p>
        </w:tc>
      </w:tr>
    </w:tbl>
    <w:p>
      <w:r>
        <w:rPr>
          <w:rFonts w:ascii="Calibri" w:hAnsi="Calibri"/>
          <w:color w:val="525866"/>
          <w:sz w:val="22"/>
        </w:rPr>
        <w:t>No open-market purchases were filed in the period. The absence of insider buying is not alarming given the stock's strong post-earnings surge and the proximity to the earnings blackout window. The discretionary sales by Directors Moses, Dornemann, and Srinivasan are small in size and do not represent a meaningful negative signal. The CLO's 10b5-1 sales (17,680 shares total) are the largest in aggregate but are pre-scheduled and obligation-driven.</w:t>
      </w:r>
    </w:p>
    <w:p>
      <w:r>
        <w:rPr>
          <w:rFonts w:ascii="Calibri" w:hAnsi="Calibri"/>
          <w:i/>
          <w:color w:val="525866"/>
          <w:sz w:val="22"/>
        </w:rPr>
        <w:t>Source: SEC Form 4 filings database. Window: May 21, 2026 – August 6, 2026. Open-market transactions (codes P/S) and 10b5-1 plan sales only.</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