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Take-Two Interactive Software (TTWO)</w:t>
      </w:r>
    </w:p>
    <w:p>
      <w:pPr>
        <w:pStyle w:val="Heading2"/>
      </w:pPr>
      <w:r>
        <w:rPr>
          <w:rFonts w:ascii="Calibri" w:hAnsi="Calibri"/>
          <w:b/>
          <w:color w:val="3B4259"/>
          <w:sz w:val="28"/>
        </w:rPr>
        <w:t>FY2027 Q1 Earnings Preview</w:t>
      </w:r>
    </w:p>
    <w:p>
      <w:r>
        <w:rPr>
          <w:rFonts w:ascii="Calibri" w:hAnsi="Calibri"/>
          <w:b/>
          <w:color w:val="525866"/>
          <w:sz w:val="22"/>
        </w:rPr>
        <w:t xml:space="preserve">Earnings Date: </w:t>
      </w:r>
      <w:r>
        <w:rPr>
          <w:rFonts w:ascii="Calibri" w:hAnsi="Calibri"/>
          <w:color w:val="525866"/>
          <w:sz w:val="22"/>
        </w:rPr>
        <w:t xml:space="preserve">August 7, 2026  </w:t>
      </w:r>
      <w:r>
        <w:rPr>
          <w:rFonts w:ascii="Calibri" w:hAnsi="Calibri"/>
          <w:b/>
          <w:color w:val="525866"/>
          <w:sz w:val="22"/>
        </w:rPr>
        <w:t xml:space="preserve">Prepared: </w:t>
      </w:r>
      <w:r>
        <w:rPr>
          <w:rFonts w:ascii="Calibri" w:hAnsi="Calibri"/>
          <w:color w:val="525866"/>
          <w:sz w:val="22"/>
        </w:rPr>
        <w:t xml:space="preserve">August 6, 2026  </w:t>
      </w:r>
      <w:r>
        <w:rPr>
          <w:rFonts w:ascii="Calibri" w:hAnsi="Calibri"/>
          <w:b/>
          <w:color w:val="525866"/>
          <w:sz w:val="22"/>
        </w:rPr>
        <w:t xml:space="preserve">Reporting Period: </w:t>
      </w:r>
      <w:r>
        <w:rPr>
          <w:rFonts w:ascii="Calibri" w:hAnsi="Calibri"/>
          <w:color w:val="525866"/>
          <w:sz w:val="22"/>
        </w:rPr>
        <w:t>Q1 FY2027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Q1 FY2027 is a modest beat or in-line print — consensus sits slightly above the midpoint of guidance, the bar is not stretched, and the real story is the November 19 GTA VI launch trajectory. The single biggest swing factor is whether mobile RCS holds up better than the conservative guidance implies.</w:t>
      </w:r>
    </w:p>
    <w:p>
      <w:r>
        <w:rPr>
          <w:rFonts w:ascii="Calibri" w:hAnsi="Calibri"/>
          <w:b/>
          <w:color w:val="525866"/>
          <w:sz w:val="22"/>
        </w:rPr>
        <w:t xml:space="preserve">Bar: </w:t>
      </w:r>
      <w:r>
        <w:rPr>
          <w:rFonts w:ascii="Calibri" w:hAnsi="Calibri"/>
          <w:color w:val="525866"/>
          <w:sz w:val="22"/>
        </w:rPr>
        <w:t xml:space="preserve">Consensus net bookings of ~$1.36B sits just above the midpoint of management's $1.32–$1.37B guidance range, representing a modest but not demanding bar. Management guided Q1 RCS down ~3% YoY, driven by mobile headwinds from Color Block Jam's tough comp and assumed moderation in mature Zynga titles — a deliberately conservative posture that leaves room for upside if mobile trends hold. </w:t>
      </w:r>
      <w:r>
        <w:rPr>
          <w:rFonts w:ascii="Calibri" w:hAnsi="Calibri"/>
          <w:b/>
          <w:color w:val="525866"/>
          <w:sz w:val="22"/>
        </w:rPr>
        <w:t xml:space="preserve">Guidance/Tone: </w:t>
      </w:r>
      <w:r>
        <w:rPr>
          <w:rFonts w:ascii="Calibri" w:hAnsi="Calibri"/>
          <w:color w:val="525866"/>
          <w:sz w:val="22"/>
        </w:rPr>
        <w:t xml:space="preserve">Since the May 21 Q4 FY2026 earnings call, management's tone has been one of execution certainty rather than aspiration — the November 19 GTA VI console launch date is locked, Rockstar's marketing campaign is underway, and management explicitly guided to operating cash flow exceeding $1B and a net cash position by year-end FY2027. No post-earnings guidance revisions have been issued. </w:t>
      </w:r>
      <w:r>
        <w:rPr>
          <w:rFonts w:ascii="Calibri" w:hAnsi="Calibri"/>
          <w:b/>
          <w:color w:val="525866"/>
          <w:sz w:val="22"/>
        </w:rPr>
        <w:t xml:space="preserve">Estimate Trajectory: </w:t>
      </w:r>
      <w:r>
        <w:rPr>
          <w:rFonts w:ascii="Calibri" w:hAnsi="Calibri"/>
          <w:color w:val="525866"/>
          <w:sz w:val="22"/>
        </w:rPr>
        <w:t xml:space="preserve">Q1 FY2027 consensus net bookings of ~$1.36B is essentially flat to the post-earnings baseline of ~$1.36B, suggesting the Street has largely accepted management's guidance without material revision — a neutral signal. Full-year FY2027 consensus of ~$8.54B sits above the $8.0–$8.2B guidance range, implying the market is already pricing in some GTA VI upside. </w:t>
      </w:r>
      <w:r>
        <w:rPr>
          <w:rFonts w:ascii="Calibri" w:hAnsi="Calibri"/>
          <w:b/>
          <w:color w:val="525866"/>
          <w:sz w:val="22"/>
        </w:rPr>
        <w:t xml:space="preserve">Stock Setup: </w:t>
      </w:r>
      <w:r>
        <w:rPr>
          <w:rFonts w:ascii="Calibri" w:hAnsi="Calibri"/>
          <w:color w:val="525866"/>
          <w:sz w:val="22"/>
        </w:rPr>
        <w:t xml:space="preserve">TTWO has pulled back ~2.4% since the May 21 earnings print (indexed to 100), underperforming the S&amp;P 500 (+3.5%) but roughly in line with the ESPO gaming ETF. The stock trades at ~21.8x NTM EV/EBITDA — a premium that reflects GTA VI optionality rather than near-term fundamentals. A Q1 beat alone is unlikely to re-rate the stock; the market is focused on GTA VI pre-launch signals. </w:t>
      </w:r>
      <w:r>
        <w:rPr>
          <w:rFonts w:ascii="Calibri" w:hAnsi="Calibri"/>
          <w:b/>
          <w:color w:val="525866"/>
          <w:sz w:val="22"/>
        </w:rPr>
        <w:t xml:space="preserve">Wildcard: </w:t>
      </w:r>
      <w:r>
        <w:rPr>
          <w:rFonts w:ascii="Calibri" w:hAnsi="Calibri"/>
          <w:color w:val="525866"/>
          <w:sz w:val="22"/>
        </w:rPr>
        <w:t>Any commentary on GTA VI pre-orders, marketing reception, or retailer sell-in data could move the stock more than the Q1 print itself. On the downside, a sharper-than-expected mobile RCS decline — particularly if Toon Blast or Match Factory! show deceleration — would raise questions about the FY2027 non-GTA baseline.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the top of guidance on net bookings, making the bar achievable but not easy. </w:t>
      </w:r>
      <w:r>
        <w:rPr>
          <w:rFonts w:ascii="Calibri" w:hAnsi="Calibri"/>
          <w:b/>
          <w:color w:val="525866"/>
          <w:sz w:val="22"/>
        </w:rPr>
        <w:t>RCS trajectory is the bigger swing factor</w:t>
      </w:r>
      <w:r>
        <w:rPr>
          <w:rFonts w:ascii="Calibri" w:hAnsi="Calibri"/>
          <w:color w:val="525866"/>
          <w:sz w:val="22"/>
        </w:rPr>
        <w:t xml:space="preserve"> — a mobile beat would be the most positive surprise given management's deliberately conservative assumptions.</w:t>
      </w:r>
    </w:p>
    <w:p>
      <w:pPr>
        <w:pStyle w:val="Heading3"/>
      </w:pPr>
      <w:r>
        <w:rPr>
          <w:rFonts w:ascii="Calibri" w:hAnsi="Calibri"/>
          <w:b/>
          <w:color w:val="3B4259"/>
          <w:sz w:val="24"/>
        </w:rPr>
        <w:t>Table 1 — Q1 FY2027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Q4 FY2026 Actual (Last Quarter)</w:t>
            </w:r>
          </w:p>
        </w:tc>
        <w:tc>
          <w:tcPr>
            <w:tcW w:type="dxa" w:w="1234"/>
            <w:shd w:val="clear" w:color="auto" w:fill="3B4259"/>
          </w:tcPr>
          <w:p>
            <w:r>
              <w:rPr>
                <w:rFonts w:ascii="Calibri" w:hAnsi="Calibri"/>
                <w:b/>
                <w:color w:val="FFFFFF"/>
                <w:sz w:val="22"/>
              </w:rPr>
              <w:t>Q1 FY2026 Actual (Prior Year Period)</w:t>
            </w:r>
          </w:p>
        </w:tc>
        <w:tc>
          <w:tcPr>
            <w:tcW w:type="dxa" w:w="1234"/>
            <w:shd w:val="clear" w:color="auto" w:fill="3B4259"/>
          </w:tcPr>
          <w:p>
            <w:r>
              <w:rPr>
                <w:rFonts w:ascii="Calibri" w:hAnsi="Calibri"/>
                <w:b/>
                <w:color w:val="FFFFFF"/>
                <w:sz w:val="22"/>
              </w:rPr>
              <w:t>Q1 FY2027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Q1 FY2027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Bookings</w:t>
            </w:r>
          </w:p>
        </w:tc>
        <w:tc>
          <w:tcPr>
            <w:tcW w:type="dxa" w:w="1234"/>
          </w:tcPr>
          <w:p>
            <w:r>
              <w:rPr>
                <w:rFonts w:ascii="Calibri" w:hAnsi="Calibri"/>
                <w:sz w:val="22"/>
              </w:rPr>
              <w:t>$1,580.3M</w:t>
            </w:r>
          </w:p>
        </w:tc>
        <w:tc>
          <w:tcPr>
            <w:tcW w:type="dxa" w:w="1234"/>
          </w:tcPr>
          <w:p>
            <w:r>
              <w:rPr>
                <w:rFonts w:ascii="Calibri" w:hAnsi="Calibri"/>
                <w:sz w:val="22"/>
              </w:rPr>
              <w:t>$1,423.1M</w:t>
            </w:r>
          </w:p>
        </w:tc>
        <w:tc>
          <w:tcPr>
            <w:tcW w:type="dxa" w:w="1234"/>
          </w:tcPr>
          <w:p>
            <w:r>
              <w:rPr>
                <w:rFonts w:ascii="Calibri" w:hAnsi="Calibri"/>
                <w:sz w:val="22"/>
              </w:rPr>
              <w:t>$1,362.8M</w:t>
            </w:r>
          </w:p>
        </w:tc>
        <w:tc>
          <w:tcPr>
            <w:tcW w:type="dxa" w:w="1234"/>
          </w:tcPr>
          <w:p>
            <w:r>
              <w:rPr>
                <w:rFonts w:ascii="Calibri" w:hAnsi="Calibri"/>
                <w:sz w:val="22"/>
              </w:rPr>
              <w:t>-4.2%</w:t>
            </w:r>
          </w:p>
        </w:tc>
        <w:tc>
          <w:tcPr>
            <w:tcW w:type="dxa" w:w="1234"/>
          </w:tcPr>
          <w:p>
            <w:r>
              <w:rPr>
                <w:rFonts w:ascii="Calibri" w:hAnsi="Calibri"/>
                <w:sz w:val="22"/>
              </w:rPr>
              <w:t>$1,320–$1,370M</w:t>
            </w:r>
          </w:p>
        </w:tc>
        <w:tc>
          <w:tcPr>
            <w:tcW w:type="dxa" w:w="1234"/>
          </w:tcPr>
          <w:p>
            <w:r>
              <w:rPr>
                <w:rFonts w:ascii="Calibri" w:hAnsi="Calibri"/>
                <w:sz w:val="22"/>
              </w:rPr>
              <w:t>+0.9% vs. $1,345M mid</w:t>
            </w:r>
          </w:p>
        </w:tc>
      </w:tr>
      <w:tr>
        <w:tc>
          <w:tcPr>
            <w:tcW w:type="dxa" w:w="1234"/>
          </w:tcPr>
          <w:p>
            <w:r>
              <w:rPr>
                <w:rFonts w:ascii="Calibri" w:hAnsi="Calibri"/>
                <w:sz w:val="22"/>
              </w:rPr>
              <w:t>Recurrent Consumer Spending (RCS)</w:t>
            </w:r>
          </w:p>
        </w:tc>
        <w:tc>
          <w:tcPr>
            <w:tcW w:type="dxa" w:w="1234"/>
          </w:tcPr>
          <w:p>
            <w:r>
              <w:rPr>
                <w:rFonts w:ascii="Calibri" w:hAnsi="Calibri"/>
                <w:sz w:val="22"/>
              </w:rPr>
              <w:t>$1,360.6M</w:t>
            </w:r>
          </w:p>
        </w:tc>
        <w:tc>
          <w:tcPr>
            <w:tcW w:type="dxa" w:w="1234"/>
          </w:tcPr>
          <w:p>
            <w:r>
              <w:rPr>
                <w:rFonts w:ascii="Calibri" w:hAnsi="Calibri"/>
                <w:sz w:val="22"/>
              </w:rPr>
              <w:t>$1,256.1M</w:t>
            </w:r>
          </w:p>
        </w:tc>
        <w:tc>
          <w:tcPr>
            <w:tcW w:type="dxa" w:w="1234"/>
          </w:tcPr>
          <w:p>
            <w:r>
              <w:rPr>
                <w:rFonts w:ascii="Calibri" w:hAnsi="Calibri"/>
                <w:sz w:val="22"/>
              </w:rPr>
              <w:t>$1,182.0M</w:t>
            </w:r>
          </w:p>
        </w:tc>
        <w:tc>
          <w:tcPr>
            <w:tcW w:type="dxa" w:w="1234"/>
          </w:tcPr>
          <w:p>
            <w:r>
              <w:rPr>
                <w:rFonts w:ascii="Calibri" w:hAnsi="Calibri"/>
                <w:sz w:val="22"/>
              </w:rPr>
              <w:t>-5.9%</w:t>
            </w:r>
          </w:p>
        </w:tc>
        <w:tc>
          <w:tcPr>
            <w:tcW w:type="dxa" w:w="1234"/>
          </w:tcPr>
          <w:p>
            <w:r>
              <w:rPr>
                <w:rFonts w:ascii="Calibri" w:hAnsi="Calibri"/>
                <w:sz w:val="22"/>
              </w:rPr>
              <w:t>~-3% YoY (implied)</w:t>
            </w:r>
          </w:p>
        </w:tc>
        <w:tc>
          <w:tcPr>
            <w:tcW w:type="dxa" w:w="1234"/>
          </w:tcPr>
          <w:p>
            <w:r>
              <w:rPr>
                <w:rFonts w:ascii="Calibri" w:hAnsi="Calibri"/>
                <w:sz w:val="22"/>
              </w:rPr>
              <w:t>~-2.4% vs. implied ~$1,211M</w:t>
            </w:r>
          </w:p>
        </w:tc>
      </w:tr>
      <w:tr>
        <w:tc>
          <w:tcPr>
            <w:tcW w:type="dxa" w:w="1234"/>
          </w:tcPr>
          <w:p>
            <w:r>
              <w:rPr>
                <w:rFonts w:ascii="Calibri" w:hAnsi="Calibri"/>
                <w:sz w:val="22"/>
              </w:rPr>
              <w:t>Net Revenue</w:t>
            </w:r>
          </w:p>
        </w:tc>
        <w:tc>
          <w:tcPr>
            <w:tcW w:type="dxa" w:w="1234"/>
          </w:tcPr>
          <w:p>
            <w:r>
              <w:rPr>
                <w:rFonts w:ascii="Calibri" w:hAnsi="Calibri"/>
                <w:sz w:val="22"/>
              </w:rPr>
              <w:t>$1,679.8M</w:t>
            </w:r>
          </w:p>
        </w:tc>
        <w:tc>
          <w:tcPr>
            <w:tcW w:type="dxa" w:w="1234"/>
          </w:tcPr>
          <w:p>
            <w:r>
              <w:rPr>
                <w:rFonts w:ascii="Calibri" w:hAnsi="Calibri"/>
                <w:sz w:val="22"/>
              </w:rPr>
              <w:t>$1,503.8M</w:t>
            </w:r>
          </w:p>
        </w:tc>
        <w:tc>
          <w:tcPr>
            <w:tcW w:type="dxa" w:w="1234"/>
          </w:tcPr>
          <w:p>
            <w:r>
              <w:rPr>
                <w:rFonts w:ascii="Calibri" w:hAnsi="Calibri"/>
                <w:sz w:val="22"/>
              </w:rPr>
              <w:t>$1,506.3M</w:t>
            </w:r>
          </w:p>
        </w:tc>
        <w:tc>
          <w:tcPr>
            <w:tcW w:type="dxa" w:w="1234"/>
          </w:tcPr>
          <w:p>
            <w:r>
              <w:rPr>
                <w:rFonts w:ascii="Calibri" w:hAnsi="Calibri"/>
                <w:sz w:val="22"/>
              </w:rPr>
              <w:t>+0.2%</w:t>
            </w:r>
          </w:p>
        </w:tc>
        <w:tc>
          <w:tcPr>
            <w:tcW w:type="dxa" w:w="1234"/>
          </w:tcPr>
          <w:p>
            <w:r>
              <w:rPr>
                <w:rFonts w:ascii="Calibri" w:hAnsi="Calibri"/>
                <w:sz w:val="22"/>
              </w:rPr>
              <w:t>$1,450–$1,500M</w:t>
            </w:r>
          </w:p>
        </w:tc>
        <w:tc>
          <w:tcPr>
            <w:tcW w:type="dxa" w:w="1234"/>
          </w:tcPr>
          <w:p>
            <w:r>
              <w:rPr>
                <w:rFonts w:ascii="Calibri" w:hAnsi="Calibri"/>
                <w:sz w:val="22"/>
              </w:rPr>
              <w:t>+0.9% vs. $1,475M mid</w:t>
            </w:r>
          </w:p>
        </w:tc>
      </w:tr>
      <w:tr>
        <w:tc>
          <w:tcPr>
            <w:tcW w:type="dxa" w:w="1234"/>
          </w:tcPr>
          <w:p>
            <w:r>
              <w:rPr>
                <w:rFonts w:ascii="Calibri" w:hAnsi="Calibri"/>
                <w:sz w:val="22"/>
              </w:rPr>
              <w:t>EBITDA (Company Defined)</w:t>
            </w:r>
          </w:p>
        </w:tc>
        <w:tc>
          <w:tcPr>
            <w:tcW w:type="dxa" w:w="1234"/>
          </w:tcPr>
          <w:p>
            <w:r>
              <w:rPr>
                <w:rFonts w:ascii="Calibri" w:hAnsi="Calibri"/>
                <w:sz w:val="22"/>
              </w:rPr>
              <w:t>$243.7M</w:t>
            </w:r>
          </w:p>
        </w:tc>
        <w:tc>
          <w:tcPr>
            <w:tcW w:type="dxa" w:w="1234"/>
          </w:tcPr>
          <w:p>
            <w:r>
              <w:rPr>
                <w:rFonts w:ascii="Calibri" w:hAnsi="Calibri"/>
                <w:sz w:val="22"/>
              </w:rPr>
              <w:t>$225.5M</w:t>
            </w:r>
          </w:p>
        </w:tc>
        <w:tc>
          <w:tcPr>
            <w:tcW w:type="dxa" w:w="1234"/>
          </w:tcPr>
          <w:p>
            <w:r>
              <w:rPr>
                <w:rFonts w:ascii="Calibri" w:hAnsi="Calibri"/>
                <w:sz w:val="22"/>
              </w:rPr>
              <w:t>$176.2M</w:t>
            </w:r>
          </w:p>
        </w:tc>
        <w:tc>
          <w:tcPr>
            <w:tcW w:type="dxa" w:w="1234"/>
          </w:tcPr>
          <w:p>
            <w:r>
              <w:rPr>
                <w:rFonts w:ascii="Calibri" w:hAnsi="Calibri"/>
                <w:sz w:val="22"/>
              </w:rPr>
              <w:t>-21.9%</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EPS – Diluted Operating</w:t>
            </w:r>
          </w:p>
        </w:tc>
        <w:tc>
          <w:tcPr>
            <w:tcW w:type="dxa" w:w="1234"/>
          </w:tcPr>
          <w:p>
            <w:r>
              <w:rPr>
                <w:rFonts w:ascii="Calibri" w:hAnsi="Calibri"/>
                <w:sz w:val="22"/>
              </w:rPr>
              <w:t>$0.80</w:t>
            </w:r>
          </w:p>
        </w:tc>
        <w:tc>
          <w:tcPr>
            <w:tcW w:type="dxa" w:w="1234"/>
          </w:tcPr>
          <w:p>
            <w:r>
              <w:rPr>
                <w:rFonts w:ascii="Calibri" w:hAnsi="Calibri"/>
                <w:sz w:val="22"/>
              </w:rPr>
              <w:t>$0.61</w:t>
            </w:r>
          </w:p>
        </w:tc>
        <w:tc>
          <w:tcPr>
            <w:tcW w:type="dxa" w:w="1234"/>
          </w:tcPr>
          <w:p>
            <w:r>
              <w:rPr>
                <w:rFonts w:ascii="Calibri" w:hAnsi="Calibri"/>
                <w:sz w:val="22"/>
              </w:rPr>
              <w:t>$0.33</w:t>
            </w:r>
          </w:p>
        </w:tc>
        <w:tc>
          <w:tcPr>
            <w:tcW w:type="dxa" w:w="1234"/>
          </w:tcPr>
          <w:p>
            <w:r>
              <w:rPr>
                <w:rFonts w:ascii="Calibri" w:hAnsi="Calibri"/>
                <w:sz w:val="22"/>
              </w:rPr>
              <w:t>-46.2%</w:t>
            </w:r>
          </w:p>
        </w:tc>
        <w:tc>
          <w:tcPr>
            <w:tcW w:type="dxa" w:w="1234"/>
          </w:tcPr>
          <w:p>
            <w:r>
              <w:rPr>
                <w:rFonts w:ascii="Calibri" w:hAnsi="Calibri"/>
                <w:sz w:val="22"/>
              </w:rPr>
              <w:t>GAAP net loss $(0.23)–$(0.15)/share</w:t>
            </w:r>
          </w:p>
        </w:tc>
        <w:tc>
          <w:tcPr>
            <w:tcW w:type="dxa" w:w="1234"/>
          </w:tcPr>
          <w:p>
            <w:r>
              <w:rPr>
                <w:rFonts w:ascii="Calibri" w:hAnsi="Calibri"/>
                <w:sz w:val="22"/>
              </w:rPr>
              <w:t>N/A (GAAP vs. Operating basis)</w:t>
            </w:r>
          </w:p>
        </w:tc>
      </w:tr>
    </w:tbl>
    <w:p>
      <w:r>
        <w:rPr>
          <w:rFonts w:ascii="Calibri" w:hAnsi="Calibri"/>
          <w:color w:val="525866"/>
          <w:sz w:val="22"/>
        </w:rPr>
        <w:t>Source: Visible Alpha Consensus and Actuals Data; Company Q4 FY2026 Earnings Release (May 21, 2026). Net Bookings and RCS actuals per Visible Alpha. Q1 FY2027 guidance per company press release dated May 21, 2026. EBITDA YoY decline reflects higher marketing spend ahead of GTA VI launch.</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Net Bookings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FY2026 (Mar 2026)</w:t>
            </w:r>
          </w:p>
        </w:tc>
        <w:tc>
          <w:tcPr>
            <w:tcW w:type="dxa" w:w="1728"/>
          </w:tcPr>
          <w:p>
            <w:r>
              <w:rPr>
                <w:rFonts w:ascii="Calibri" w:hAnsi="Calibri"/>
                <w:sz w:val="22"/>
              </w:rPr>
              <w:t>$1,580.3</w:t>
            </w:r>
          </w:p>
        </w:tc>
        <w:tc>
          <w:tcPr>
            <w:tcW w:type="dxa" w:w="1728"/>
          </w:tcPr>
          <w:p>
            <w:r>
              <w:rPr>
                <w:rFonts w:ascii="Calibri" w:hAnsi="Calibri"/>
                <w:sz w:val="22"/>
              </w:rPr>
              <w:t>$1,546.2</w:t>
            </w:r>
          </w:p>
        </w:tc>
        <w:tc>
          <w:tcPr>
            <w:tcW w:type="dxa" w:w="1728"/>
          </w:tcPr>
          <w:p>
            <w:r>
              <w:rPr>
                <w:rFonts w:ascii="Calibri" w:hAnsi="Calibri"/>
                <w:b/>
                <w:color w:val="30A46C"/>
                <w:sz w:val="22"/>
              </w:rPr>
              <w:t>+2.2%</w:t>
            </w:r>
          </w:p>
        </w:tc>
        <w:tc>
          <w:tcPr>
            <w:tcW w:type="dxa" w:w="1728"/>
          </w:tcPr>
          <w:p>
            <w:r>
              <w:rPr>
                <w:rFonts w:ascii="Calibri" w:hAnsi="Calibri"/>
                <w:sz w:val="22"/>
              </w:rPr>
              <w:t>Beat</w:t>
            </w:r>
          </w:p>
        </w:tc>
      </w:tr>
      <w:tr>
        <w:tc>
          <w:tcPr>
            <w:tcW w:type="dxa" w:w="1728"/>
          </w:tcPr>
          <w:p>
            <w:r>
              <w:rPr>
                <w:rFonts w:ascii="Calibri" w:hAnsi="Calibri"/>
                <w:sz w:val="22"/>
              </w:rPr>
              <w:t>Q3 FY2026 (Dec 2025)</w:t>
            </w:r>
          </w:p>
        </w:tc>
        <w:tc>
          <w:tcPr>
            <w:tcW w:type="dxa" w:w="1728"/>
          </w:tcPr>
          <w:p>
            <w:r>
              <w:rPr>
                <w:rFonts w:ascii="Calibri" w:hAnsi="Calibri"/>
                <w:sz w:val="22"/>
              </w:rPr>
              <w:t>$1,757.1</w:t>
            </w:r>
          </w:p>
        </w:tc>
        <w:tc>
          <w:tcPr>
            <w:tcW w:type="dxa" w:w="1728"/>
          </w:tcPr>
          <w:p>
            <w:r>
              <w:rPr>
                <w:rFonts w:ascii="Calibri" w:hAnsi="Calibri"/>
                <w:sz w:val="22"/>
              </w:rPr>
              <w:t>$1,580.2</w:t>
            </w:r>
          </w:p>
        </w:tc>
        <w:tc>
          <w:tcPr>
            <w:tcW w:type="dxa" w:w="1728"/>
          </w:tcPr>
          <w:p>
            <w:r>
              <w:rPr>
                <w:rFonts w:ascii="Calibri" w:hAnsi="Calibri"/>
                <w:b/>
                <w:color w:val="30A46C"/>
                <w:sz w:val="22"/>
              </w:rPr>
              <w:t>+11.2%</w:t>
            </w:r>
          </w:p>
        </w:tc>
        <w:tc>
          <w:tcPr>
            <w:tcW w:type="dxa" w:w="1728"/>
          </w:tcPr>
          <w:p>
            <w:r>
              <w:rPr>
                <w:rFonts w:ascii="Calibri" w:hAnsi="Calibri"/>
                <w:sz w:val="22"/>
              </w:rPr>
              <w:t>Beat</w:t>
            </w:r>
          </w:p>
        </w:tc>
      </w:tr>
      <w:tr>
        <w:tc>
          <w:tcPr>
            <w:tcW w:type="dxa" w:w="1728"/>
          </w:tcPr>
          <w:p>
            <w:r>
              <w:rPr>
                <w:rFonts w:ascii="Calibri" w:hAnsi="Calibri"/>
                <w:sz w:val="22"/>
              </w:rPr>
              <w:t>Q2 FY2026 (Sep 2025)</w:t>
            </w:r>
          </w:p>
        </w:tc>
        <w:tc>
          <w:tcPr>
            <w:tcW w:type="dxa" w:w="1728"/>
          </w:tcPr>
          <w:p>
            <w:r>
              <w:rPr>
                <w:rFonts w:ascii="Calibri" w:hAnsi="Calibri"/>
                <w:sz w:val="22"/>
              </w:rPr>
              <w:t>$1,960.5</w:t>
            </w:r>
          </w:p>
        </w:tc>
        <w:tc>
          <w:tcPr>
            <w:tcW w:type="dxa" w:w="1728"/>
          </w:tcPr>
          <w:p>
            <w:r>
              <w:rPr>
                <w:rFonts w:ascii="Calibri" w:hAnsi="Calibri"/>
                <w:sz w:val="22"/>
              </w:rPr>
              <w:t>$1,752.5</w:t>
            </w:r>
          </w:p>
        </w:tc>
        <w:tc>
          <w:tcPr>
            <w:tcW w:type="dxa" w:w="1728"/>
          </w:tcPr>
          <w:p>
            <w:r>
              <w:rPr>
                <w:rFonts w:ascii="Calibri" w:hAnsi="Calibri"/>
                <w:b/>
                <w:color w:val="30A46C"/>
                <w:sz w:val="22"/>
              </w:rPr>
              <w:t>+11.9%</w:t>
            </w:r>
          </w:p>
        </w:tc>
        <w:tc>
          <w:tcPr>
            <w:tcW w:type="dxa" w:w="1728"/>
          </w:tcPr>
          <w:p>
            <w:r>
              <w:rPr>
                <w:rFonts w:ascii="Calibri" w:hAnsi="Calibri"/>
                <w:sz w:val="22"/>
              </w:rPr>
              <w:t>Beat</w:t>
            </w:r>
          </w:p>
        </w:tc>
      </w:tr>
      <w:tr>
        <w:tc>
          <w:tcPr>
            <w:tcW w:type="dxa" w:w="1728"/>
          </w:tcPr>
          <w:p>
            <w:r>
              <w:rPr>
                <w:rFonts w:ascii="Calibri" w:hAnsi="Calibri"/>
                <w:sz w:val="22"/>
              </w:rPr>
              <w:t>Q1 FY2026 (Jun 2025)</w:t>
            </w:r>
          </w:p>
        </w:tc>
        <w:tc>
          <w:tcPr>
            <w:tcW w:type="dxa" w:w="1728"/>
          </w:tcPr>
          <w:p>
            <w:r>
              <w:rPr>
                <w:rFonts w:ascii="Calibri" w:hAnsi="Calibri"/>
                <w:sz w:val="22"/>
              </w:rPr>
              <w:t>$1,423.1</w:t>
            </w:r>
          </w:p>
        </w:tc>
        <w:tc>
          <w:tcPr>
            <w:tcW w:type="dxa" w:w="1728"/>
          </w:tcPr>
          <w:p>
            <w:r>
              <w:rPr>
                <w:rFonts w:ascii="Calibri" w:hAnsi="Calibri"/>
                <w:sz w:val="22"/>
              </w:rPr>
              <w:t>$1,294.6</w:t>
            </w:r>
          </w:p>
        </w:tc>
        <w:tc>
          <w:tcPr>
            <w:tcW w:type="dxa" w:w="1728"/>
          </w:tcPr>
          <w:p>
            <w:r>
              <w:rPr>
                <w:rFonts w:ascii="Calibri" w:hAnsi="Calibri"/>
                <w:b/>
                <w:color w:val="30A46C"/>
                <w:sz w:val="22"/>
              </w:rPr>
              <w:t>+9.9%</w:t>
            </w:r>
          </w:p>
        </w:tc>
        <w:tc>
          <w:tcPr>
            <w:tcW w:type="dxa" w:w="1728"/>
          </w:tcPr>
          <w:p>
            <w:r>
              <w:rPr>
                <w:rFonts w:ascii="Calibri" w:hAnsi="Calibri"/>
                <w:sz w:val="22"/>
              </w:rPr>
              <w:t>Beat</w:t>
            </w:r>
          </w:p>
        </w:tc>
      </w:tr>
      <w:tr>
        <w:tc>
          <w:tcPr>
            <w:tcW w:type="dxa" w:w="1728"/>
          </w:tcPr>
          <w:p>
            <w:r>
              <w:rPr>
                <w:rFonts w:ascii="Calibri" w:hAnsi="Calibri"/>
                <w:sz w:val="22"/>
              </w:rPr>
              <w:t>Q4 FY2025 (Mar 2025)</w:t>
            </w:r>
          </w:p>
        </w:tc>
        <w:tc>
          <w:tcPr>
            <w:tcW w:type="dxa" w:w="1728"/>
          </w:tcPr>
          <w:p>
            <w:r>
              <w:rPr>
                <w:rFonts w:ascii="Calibri" w:hAnsi="Calibri"/>
                <w:sz w:val="22"/>
              </w:rPr>
              <w:t>$1,581.5</w:t>
            </w:r>
          </w:p>
        </w:tc>
        <w:tc>
          <w:tcPr>
            <w:tcW w:type="dxa" w:w="1728"/>
          </w:tcPr>
          <w:p>
            <w:r>
              <w:rPr>
                <w:rFonts w:ascii="Calibri" w:hAnsi="Calibri"/>
                <w:sz w:val="22"/>
              </w:rPr>
              <w:t>$1,546.2</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Q3 FY2025 (Dec 2024)</w:t>
            </w:r>
          </w:p>
        </w:tc>
        <w:tc>
          <w:tcPr>
            <w:tcW w:type="dxa" w:w="1728"/>
          </w:tcPr>
          <w:p>
            <w:r>
              <w:rPr>
                <w:rFonts w:ascii="Calibri" w:hAnsi="Calibri"/>
                <w:sz w:val="22"/>
              </w:rPr>
              <w:t>$1,373.5</w:t>
            </w:r>
          </w:p>
        </w:tc>
        <w:tc>
          <w:tcPr>
            <w:tcW w:type="dxa" w:w="1728"/>
          </w:tcPr>
          <w:p>
            <w:r>
              <w:rPr>
                <w:rFonts w:ascii="Calibri" w:hAnsi="Calibri"/>
                <w:sz w:val="22"/>
              </w:rPr>
              <w:t>$1,389.3</w:t>
            </w:r>
          </w:p>
        </w:tc>
        <w:tc>
          <w:tcPr>
            <w:tcW w:type="dxa" w:w="1728"/>
          </w:tcPr>
          <w:p>
            <w:r>
              <w:rPr>
                <w:rFonts w:ascii="Calibri" w:hAnsi="Calibri"/>
                <w:b/>
                <w:color w:val="E5484D"/>
                <w:sz w:val="22"/>
              </w:rPr>
              <w:t>-1.1%</w:t>
            </w:r>
          </w:p>
        </w:tc>
        <w:tc>
          <w:tcPr>
            <w:tcW w:type="dxa" w:w="1728"/>
          </w:tcPr>
          <w:p>
            <w:r>
              <w:rPr>
                <w:rFonts w:ascii="Calibri" w:hAnsi="Calibri"/>
                <w:sz w:val="22"/>
              </w:rPr>
              <w:t>Miss</w:t>
            </w:r>
          </w:p>
        </w:tc>
      </w:tr>
      <w:tr>
        <w:tc>
          <w:tcPr>
            <w:tcW w:type="dxa" w:w="1728"/>
          </w:tcPr>
          <w:p>
            <w:r>
              <w:rPr>
                <w:rFonts w:ascii="Calibri" w:hAnsi="Calibri"/>
                <w:sz w:val="22"/>
              </w:rPr>
              <w:t>Q2 FY2025 (Sep 2024)</w:t>
            </w:r>
          </w:p>
        </w:tc>
        <w:tc>
          <w:tcPr>
            <w:tcW w:type="dxa" w:w="1728"/>
          </w:tcPr>
          <w:p>
            <w:r>
              <w:rPr>
                <w:rFonts w:ascii="Calibri" w:hAnsi="Calibri"/>
                <w:sz w:val="22"/>
              </w:rPr>
              <w:t>$1,475.0</w:t>
            </w:r>
          </w:p>
        </w:tc>
        <w:tc>
          <w:tcPr>
            <w:tcW w:type="dxa" w:w="1728"/>
          </w:tcPr>
          <w:p>
            <w:r>
              <w:rPr>
                <w:rFonts w:ascii="Calibri" w:hAnsi="Calibri"/>
                <w:sz w:val="22"/>
              </w:rPr>
              <w:t>$1,459.5</w:t>
            </w:r>
          </w:p>
        </w:tc>
        <w:tc>
          <w:tcPr>
            <w:tcW w:type="dxa" w:w="1728"/>
          </w:tcPr>
          <w:p>
            <w:r>
              <w:rPr>
                <w:rFonts w:ascii="Calibri" w:hAnsi="Calibri"/>
                <w:b/>
                <w:color w:val="30A46C"/>
                <w:sz w:val="22"/>
              </w:rPr>
              <w:t>+1.1%</w:t>
            </w:r>
          </w:p>
        </w:tc>
        <w:tc>
          <w:tcPr>
            <w:tcW w:type="dxa" w:w="1728"/>
          </w:tcPr>
          <w:p>
            <w:r>
              <w:rPr>
                <w:rFonts w:ascii="Calibri" w:hAnsi="Calibri"/>
                <w:sz w:val="22"/>
              </w:rPr>
              <w:t>Beat</w:t>
            </w:r>
          </w:p>
        </w:tc>
      </w:tr>
      <w:tr>
        <w:tc>
          <w:tcPr>
            <w:tcW w:type="dxa" w:w="1728"/>
          </w:tcPr>
          <w:p>
            <w:r>
              <w:rPr>
                <w:rFonts w:ascii="Calibri" w:hAnsi="Calibri"/>
                <w:sz w:val="22"/>
              </w:rPr>
              <w:t>Q1 FY2025 (Jun 2024)</w:t>
            </w:r>
          </w:p>
        </w:tc>
        <w:tc>
          <w:tcPr>
            <w:tcW w:type="dxa" w:w="1728"/>
          </w:tcPr>
          <w:p>
            <w:r>
              <w:rPr>
                <w:rFonts w:ascii="Calibri" w:hAnsi="Calibri"/>
                <w:sz w:val="22"/>
              </w:rPr>
              <w:t>$1,218.1</w:t>
            </w:r>
          </w:p>
        </w:tc>
        <w:tc>
          <w:tcPr>
            <w:tcW w:type="dxa" w:w="1728"/>
          </w:tcPr>
          <w:p>
            <w:r>
              <w:rPr>
                <w:rFonts w:ascii="Calibri" w:hAnsi="Calibri"/>
                <w:sz w:val="22"/>
              </w:rPr>
              <w:t>$1,236.3</w:t>
            </w:r>
          </w:p>
        </w:tc>
        <w:tc>
          <w:tcPr>
            <w:tcW w:type="dxa" w:w="1728"/>
          </w:tcPr>
          <w:p>
            <w:r>
              <w:rPr>
                <w:rFonts w:ascii="Calibri" w:hAnsi="Calibri"/>
                <w:b/>
                <w:color w:val="E5484D"/>
                <w:sz w:val="22"/>
              </w:rPr>
              <w:t>-1.5%</w:t>
            </w:r>
          </w:p>
        </w:tc>
        <w:tc>
          <w:tcPr>
            <w:tcW w:type="dxa" w:w="1728"/>
          </w:tcPr>
          <w:p>
            <w:r>
              <w:rPr>
                <w:rFonts w:ascii="Calibri" w:hAnsi="Calibri"/>
                <w:sz w:val="22"/>
              </w:rPr>
              <w:t>Miss</w:t>
            </w:r>
          </w:p>
        </w:tc>
      </w:tr>
    </w:tbl>
    <w:p>
      <w:pPr>
        <w:pStyle w:val="Heading4"/>
      </w:pPr>
      <w:r>
        <w:rPr>
          <w:rFonts w:ascii="Calibri" w:hAnsi="Calibri"/>
          <w:b/>
          <w:color w:val="3B4259"/>
          <w:sz w:val="22"/>
        </w:rPr>
        <w:t>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FY2026 (Mar 2026)</w:t>
            </w:r>
          </w:p>
        </w:tc>
        <w:tc>
          <w:tcPr>
            <w:tcW w:type="dxa" w:w="1728"/>
          </w:tcPr>
          <w:p>
            <w:r>
              <w:rPr>
                <w:rFonts w:ascii="Calibri" w:hAnsi="Calibri"/>
                <w:sz w:val="22"/>
              </w:rPr>
              <w:t>$0.80</w:t>
            </w:r>
          </w:p>
        </w:tc>
        <w:tc>
          <w:tcPr>
            <w:tcW w:type="dxa" w:w="1728"/>
          </w:tcPr>
          <w:p>
            <w:r>
              <w:rPr>
                <w:rFonts w:ascii="Calibri" w:hAnsi="Calibri"/>
                <w:sz w:val="22"/>
              </w:rPr>
              <w:t>$0.58</w:t>
            </w:r>
          </w:p>
        </w:tc>
        <w:tc>
          <w:tcPr>
            <w:tcW w:type="dxa" w:w="1728"/>
          </w:tcPr>
          <w:p>
            <w:r>
              <w:rPr>
                <w:rFonts w:ascii="Calibri" w:hAnsi="Calibri"/>
                <w:b/>
                <w:color w:val="30A46C"/>
                <w:sz w:val="22"/>
              </w:rPr>
              <w:t>+38.5%</w:t>
            </w:r>
          </w:p>
        </w:tc>
        <w:tc>
          <w:tcPr>
            <w:tcW w:type="dxa" w:w="1728"/>
          </w:tcPr>
          <w:p>
            <w:r>
              <w:rPr>
                <w:rFonts w:ascii="Calibri" w:hAnsi="Calibri"/>
                <w:sz w:val="22"/>
              </w:rPr>
              <w:t>Beat</w:t>
            </w:r>
          </w:p>
        </w:tc>
      </w:tr>
      <w:tr>
        <w:tc>
          <w:tcPr>
            <w:tcW w:type="dxa" w:w="1728"/>
          </w:tcPr>
          <w:p>
            <w:r>
              <w:rPr>
                <w:rFonts w:ascii="Calibri" w:hAnsi="Calibri"/>
                <w:sz w:val="22"/>
              </w:rPr>
              <w:t>Q3 FY2026 (Dec 2025)</w:t>
            </w:r>
          </w:p>
        </w:tc>
        <w:tc>
          <w:tcPr>
            <w:tcW w:type="dxa" w:w="1728"/>
          </w:tcPr>
          <w:p>
            <w:r>
              <w:rPr>
                <w:rFonts w:ascii="Calibri" w:hAnsi="Calibri"/>
                <w:sz w:val="22"/>
              </w:rPr>
              <w:t>$1.23</w:t>
            </w:r>
          </w:p>
        </w:tc>
        <w:tc>
          <w:tcPr>
            <w:tcW w:type="dxa" w:w="1728"/>
          </w:tcPr>
          <w:p>
            <w:r>
              <w:rPr>
                <w:rFonts w:ascii="Calibri" w:hAnsi="Calibri"/>
                <w:sz w:val="22"/>
              </w:rPr>
              <w:t>$0.83</w:t>
            </w:r>
          </w:p>
        </w:tc>
        <w:tc>
          <w:tcPr>
            <w:tcW w:type="dxa" w:w="1728"/>
          </w:tcPr>
          <w:p>
            <w:r>
              <w:rPr>
                <w:rFonts w:ascii="Calibri" w:hAnsi="Calibri"/>
                <w:b/>
                <w:color w:val="30A46C"/>
                <w:sz w:val="22"/>
              </w:rPr>
              <w:t>+48.2%</w:t>
            </w:r>
          </w:p>
        </w:tc>
        <w:tc>
          <w:tcPr>
            <w:tcW w:type="dxa" w:w="1728"/>
          </w:tcPr>
          <w:p>
            <w:r>
              <w:rPr>
                <w:rFonts w:ascii="Calibri" w:hAnsi="Calibri"/>
                <w:sz w:val="22"/>
              </w:rPr>
              <w:t>Beat</w:t>
            </w:r>
          </w:p>
        </w:tc>
      </w:tr>
      <w:tr>
        <w:tc>
          <w:tcPr>
            <w:tcW w:type="dxa" w:w="1728"/>
          </w:tcPr>
          <w:p>
            <w:r>
              <w:rPr>
                <w:rFonts w:ascii="Calibri" w:hAnsi="Calibri"/>
                <w:sz w:val="22"/>
              </w:rPr>
              <w:t>Q2 FY2026 (Sep 2025)</w:t>
            </w:r>
          </w:p>
        </w:tc>
        <w:tc>
          <w:tcPr>
            <w:tcW w:type="dxa" w:w="1728"/>
          </w:tcPr>
          <w:p>
            <w:r>
              <w:rPr>
                <w:rFonts w:ascii="Calibri" w:hAnsi="Calibri"/>
                <w:sz w:val="22"/>
              </w:rPr>
              <w:t>$1.46</w:t>
            </w:r>
          </w:p>
        </w:tc>
        <w:tc>
          <w:tcPr>
            <w:tcW w:type="dxa" w:w="1728"/>
          </w:tcPr>
          <w:p>
            <w:r>
              <w:rPr>
                <w:rFonts w:ascii="Calibri" w:hAnsi="Calibri"/>
                <w:sz w:val="22"/>
              </w:rPr>
              <w:t>$0.97</w:t>
            </w:r>
          </w:p>
        </w:tc>
        <w:tc>
          <w:tcPr>
            <w:tcW w:type="dxa" w:w="1728"/>
          </w:tcPr>
          <w:p>
            <w:r>
              <w:rPr>
                <w:rFonts w:ascii="Calibri" w:hAnsi="Calibri"/>
                <w:b/>
                <w:color w:val="30A46C"/>
                <w:sz w:val="22"/>
              </w:rPr>
              <w:t>+50.5%</w:t>
            </w:r>
          </w:p>
        </w:tc>
        <w:tc>
          <w:tcPr>
            <w:tcW w:type="dxa" w:w="1728"/>
          </w:tcPr>
          <w:p>
            <w:r>
              <w:rPr>
                <w:rFonts w:ascii="Calibri" w:hAnsi="Calibri"/>
                <w:sz w:val="22"/>
              </w:rPr>
              <w:t>Beat</w:t>
            </w:r>
          </w:p>
        </w:tc>
      </w:tr>
      <w:tr>
        <w:tc>
          <w:tcPr>
            <w:tcW w:type="dxa" w:w="1728"/>
          </w:tcPr>
          <w:p>
            <w:r>
              <w:rPr>
                <w:rFonts w:ascii="Calibri" w:hAnsi="Calibri"/>
                <w:sz w:val="22"/>
              </w:rPr>
              <w:t>Q1 FY2026 (Jun 2025)</w:t>
            </w:r>
          </w:p>
        </w:tc>
        <w:tc>
          <w:tcPr>
            <w:tcW w:type="dxa" w:w="1728"/>
          </w:tcPr>
          <w:p>
            <w:r>
              <w:rPr>
                <w:rFonts w:ascii="Calibri" w:hAnsi="Calibri"/>
                <w:sz w:val="22"/>
              </w:rPr>
              <w:t>$0.61</w:t>
            </w:r>
          </w:p>
        </w:tc>
        <w:tc>
          <w:tcPr>
            <w:tcW w:type="dxa" w:w="1728"/>
          </w:tcPr>
          <w:p>
            <w:r>
              <w:rPr>
                <w:rFonts w:ascii="Calibri" w:hAnsi="Calibri"/>
                <w:sz w:val="22"/>
              </w:rPr>
              <w:t>$0.27</w:t>
            </w:r>
          </w:p>
        </w:tc>
        <w:tc>
          <w:tcPr>
            <w:tcW w:type="dxa" w:w="1728"/>
          </w:tcPr>
          <w:p>
            <w:r>
              <w:rPr>
                <w:rFonts w:ascii="Calibri" w:hAnsi="Calibri"/>
                <w:b/>
                <w:color w:val="30A46C"/>
                <w:sz w:val="22"/>
              </w:rPr>
              <w:t>+125.9%</w:t>
            </w:r>
          </w:p>
        </w:tc>
        <w:tc>
          <w:tcPr>
            <w:tcW w:type="dxa" w:w="1728"/>
          </w:tcPr>
          <w:p>
            <w:r>
              <w:rPr>
                <w:rFonts w:ascii="Calibri" w:hAnsi="Calibri"/>
                <w:sz w:val="22"/>
              </w:rPr>
              <w:t>Beat</w:t>
            </w:r>
          </w:p>
        </w:tc>
      </w:tr>
      <w:tr>
        <w:tc>
          <w:tcPr>
            <w:tcW w:type="dxa" w:w="1728"/>
          </w:tcPr>
          <w:p>
            <w:r>
              <w:rPr>
                <w:rFonts w:ascii="Calibri" w:hAnsi="Calibri"/>
                <w:sz w:val="22"/>
              </w:rPr>
              <w:t>Q4 FY2025 (Mar 2025)</w:t>
            </w:r>
          </w:p>
        </w:tc>
        <w:tc>
          <w:tcPr>
            <w:tcW w:type="dxa" w:w="1728"/>
          </w:tcPr>
          <w:p>
            <w:r>
              <w:rPr>
                <w:rFonts w:ascii="Calibri" w:hAnsi="Calibri"/>
                <w:sz w:val="22"/>
              </w:rPr>
              <w:t>$1.08</w:t>
            </w:r>
          </w:p>
        </w:tc>
        <w:tc>
          <w:tcPr>
            <w:tcW w:type="dxa" w:w="1728"/>
          </w:tcPr>
          <w:p>
            <w:r>
              <w:rPr>
                <w:rFonts w:ascii="Calibri" w:hAnsi="Calibri"/>
                <w:sz w:val="22"/>
              </w:rPr>
              <w:t>$1.11</w:t>
            </w:r>
          </w:p>
        </w:tc>
        <w:tc>
          <w:tcPr>
            <w:tcW w:type="dxa" w:w="1728"/>
          </w:tcPr>
          <w:p>
            <w:r>
              <w:rPr>
                <w:rFonts w:ascii="Calibri" w:hAnsi="Calibri"/>
                <w:b/>
                <w:color w:val="E5484D"/>
                <w:sz w:val="22"/>
              </w:rPr>
              <w:t>-3.0%</w:t>
            </w:r>
          </w:p>
        </w:tc>
        <w:tc>
          <w:tcPr>
            <w:tcW w:type="dxa" w:w="1728"/>
          </w:tcPr>
          <w:p>
            <w:r>
              <w:rPr>
                <w:rFonts w:ascii="Calibri" w:hAnsi="Calibri"/>
                <w:sz w:val="22"/>
              </w:rPr>
              <w:t>Miss</w:t>
            </w:r>
          </w:p>
        </w:tc>
      </w:tr>
      <w:tr>
        <w:tc>
          <w:tcPr>
            <w:tcW w:type="dxa" w:w="1728"/>
          </w:tcPr>
          <w:p>
            <w:r>
              <w:rPr>
                <w:rFonts w:ascii="Calibri" w:hAnsi="Calibri"/>
                <w:sz w:val="22"/>
              </w:rPr>
              <w:t>Q3 FY2025 (Dec 2024)</w:t>
            </w:r>
          </w:p>
        </w:tc>
        <w:tc>
          <w:tcPr>
            <w:tcW w:type="dxa" w:w="1728"/>
          </w:tcPr>
          <w:p>
            <w:r>
              <w:rPr>
                <w:rFonts w:ascii="Calibri" w:hAnsi="Calibri"/>
                <w:sz w:val="22"/>
              </w:rPr>
              <w:t>$0.72</w:t>
            </w:r>
          </w:p>
        </w:tc>
        <w:tc>
          <w:tcPr>
            <w:tcW w:type="dxa" w:w="1728"/>
          </w:tcPr>
          <w:p>
            <w:r>
              <w:rPr>
                <w:rFonts w:ascii="Calibri" w:hAnsi="Calibri"/>
                <w:sz w:val="22"/>
              </w:rPr>
              <w:t>$0.56</w:t>
            </w:r>
          </w:p>
        </w:tc>
        <w:tc>
          <w:tcPr>
            <w:tcW w:type="dxa" w:w="1728"/>
          </w:tcPr>
          <w:p>
            <w:r>
              <w:rPr>
                <w:rFonts w:ascii="Calibri" w:hAnsi="Calibri"/>
                <w:b/>
                <w:color w:val="30A46C"/>
                <w:sz w:val="22"/>
              </w:rPr>
              <w:t>+28.6%</w:t>
            </w:r>
          </w:p>
        </w:tc>
        <w:tc>
          <w:tcPr>
            <w:tcW w:type="dxa" w:w="1728"/>
          </w:tcPr>
          <w:p>
            <w:r>
              <w:rPr>
                <w:rFonts w:ascii="Calibri" w:hAnsi="Calibri"/>
                <w:sz w:val="22"/>
              </w:rPr>
              <w:t>Beat</w:t>
            </w:r>
          </w:p>
        </w:tc>
      </w:tr>
      <w:tr>
        <w:tc>
          <w:tcPr>
            <w:tcW w:type="dxa" w:w="1728"/>
          </w:tcPr>
          <w:p>
            <w:r>
              <w:rPr>
                <w:rFonts w:ascii="Calibri" w:hAnsi="Calibri"/>
                <w:sz w:val="22"/>
              </w:rPr>
              <w:t>Q2 FY2025 (Sep 2024)</w:t>
            </w:r>
          </w:p>
        </w:tc>
        <w:tc>
          <w:tcPr>
            <w:tcW w:type="dxa" w:w="1728"/>
          </w:tcPr>
          <w:p>
            <w:r>
              <w:rPr>
                <w:rFonts w:ascii="Calibri" w:hAnsi="Calibri"/>
                <w:sz w:val="22"/>
              </w:rPr>
              <w:t>$0.66</w:t>
            </w:r>
          </w:p>
        </w:tc>
        <w:tc>
          <w:tcPr>
            <w:tcW w:type="dxa" w:w="1728"/>
          </w:tcPr>
          <w:p>
            <w:r>
              <w:rPr>
                <w:rFonts w:ascii="Calibri" w:hAnsi="Calibri"/>
                <w:sz w:val="22"/>
              </w:rPr>
              <w:t>$0.43</w:t>
            </w:r>
          </w:p>
        </w:tc>
        <w:tc>
          <w:tcPr>
            <w:tcW w:type="dxa" w:w="1728"/>
          </w:tcPr>
          <w:p>
            <w:r>
              <w:rPr>
                <w:rFonts w:ascii="Calibri" w:hAnsi="Calibri"/>
                <w:b/>
                <w:color w:val="30A46C"/>
                <w:sz w:val="22"/>
              </w:rPr>
              <w:t>+53.5%</w:t>
            </w:r>
          </w:p>
        </w:tc>
        <w:tc>
          <w:tcPr>
            <w:tcW w:type="dxa" w:w="1728"/>
          </w:tcPr>
          <w:p>
            <w:r>
              <w:rPr>
                <w:rFonts w:ascii="Calibri" w:hAnsi="Calibri"/>
                <w:sz w:val="22"/>
              </w:rPr>
              <w:t>Beat</w:t>
            </w:r>
          </w:p>
        </w:tc>
      </w:tr>
      <w:tr>
        <w:tc>
          <w:tcPr>
            <w:tcW w:type="dxa" w:w="1728"/>
          </w:tcPr>
          <w:p>
            <w:r>
              <w:rPr>
                <w:rFonts w:ascii="Calibri" w:hAnsi="Calibri"/>
                <w:sz w:val="22"/>
              </w:rPr>
              <w:t>Q1 FY2025 (Jun 2024)</w:t>
            </w:r>
          </w:p>
        </w:tc>
        <w:tc>
          <w:tcPr>
            <w:tcW w:type="dxa" w:w="1728"/>
          </w:tcPr>
          <w:p>
            <w:r>
              <w:rPr>
                <w:rFonts w:ascii="Calibri" w:hAnsi="Calibri"/>
                <w:sz w:val="22"/>
              </w:rPr>
              <w:t>$0.05</w:t>
            </w:r>
          </w:p>
        </w:tc>
        <w:tc>
          <w:tcPr>
            <w:tcW w:type="dxa" w:w="1728"/>
          </w:tcPr>
          <w:p>
            <w:r>
              <w:rPr>
                <w:rFonts w:ascii="Calibri" w:hAnsi="Calibri"/>
                <w:sz w:val="22"/>
              </w:rPr>
              <w:t>$0.03</w:t>
            </w:r>
          </w:p>
        </w:tc>
        <w:tc>
          <w:tcPr>
            <w:tcW w:type="dxa" w:w="1728"/>
          </w:tcPr>
          <w:p>
            <w:r>
              <w:rPr>
                <w:rFonts w:ascii="Calibri" w:hAnsi="Calibri"/>
                <w:b/>
                <w:color w:val="30A46C"/>
                <w:sz w:val="22"/>
              </w:rPr>
              <w:t>+66.7%</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TTWO has beaten net bookings consensus in 6 of the last 8 quarters, with the two misses (Q1 FY2025 and Q3 FY2025) both modest (-1.5% and -1.1%). On operating EPS, the beat rate is 7 of 8, with beats often large due to operating leverage on revenue upside. The consistent beat pattern on net bookings reflects management's practice of guiding conservatively, particularly on mobile RCS.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guidance revisions have been issued since the May 21 Q4 FY2026 earnings call. Management's tone is one of high conviction on GTA VI execution and conservative discipline on mobile — the combination creates a low-risk setup for Q1 but leaves FY2027 upside dependent on GTA VI launch success.</w:t>
      </w:r>
    </w:p>
    <w:p>
      <w:pPr>
        <w:pStyle w:val="Heading3"/>
      </w:pPr>
      <w:r>
        <w:rPr>
          <w:rFonts w:ascii="Calibri" w:hAnsi="Calibri"/>
          <w:b/>
          <w:color w:val="3B4259"/>
          <w:sz w:val="24"/>
        </w:rPr>
        <w:t>Table 3 — Guidance &amp; Commentary Evolution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FY2026 Earnings Call, May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Q1 FY2027 Net Bookings</w:t>
            </w:r>
          </w:p>
        </w:tc>
        <w:tc>
          <w:tcPr>
            <w:tcW w:type="dxa" w:w="1728"/>
          </w:tcPr>
          <w:p>
            <w:r>
              <w:rPr>
                <w:rFonts w:ascii="Calibri" w:hAnsi="Calibri"/>
                <w:sz w:val="22"/>
              </w:rPr>
              <w:t>$1,320M – $1,370M</w:t>
            </w:r>
          </w:p>
        </w:tc>
        <w:tc>
          <w:tcPr>
            <w:tcW w:type="dxa" w:w="1728"/>
          </w:tcPr>
          <w:p>
            <w:r>
              <w:rPr>
                <w:rFonts w:ascii="Calibri" w:hAnsi="Calibri"/>
                <w:sz w:val="22"/>
              </w:rPr>
              <w:t>—</w:t>
            </w:r>
          </w:p>
        </w:tc>
        <w:tc>
          <w:tcPr>
            <w:tcW w:type="dxa" w:w="1728"/>
          </w:tcPr>
          <w:p>
            <w:r>
              <w:rPr>
                <w:rFonts w:ascii="Calibri" w:hAnsi="Calibri"/>
                <w:sz w:val="22"/>
              </w:rPr>
              <w:t>$1,362.8M</w:t>
            </w:r>
          </w:p>
        </w:tc>
        <w:tc>
          <w:tcPr>
            <w:tcW w:type="dxa" w:w="1728"/>
          </w:tcPr>
          <w:p>
            <w:r>
              <w:rPr>
                <w:rFonts w:ascii="Calibri" w:hAnsi="Calibri"/>
                <w:sz w:val="22"/>
              </w:rPr>
              <w:t>No post-earnings revision; consensus at top of range</w:t>
            </w:r>
          </w:p>
        </w:tc>
      </w:tr>
      <w:tr>
        <w:tc>
          <w:tcPr>
            <w:tcW w:type="dxa" w:w="1728"/>
          </w:tcPr>
          <w:p>
            <w:r>
              <w:rPr>
                <w:rFonts w:ascii="Calibri" w:hAnsi="Calibri"/>
                <w:sz w:val="22"/>
              </w:rPr>
              <w:t>Q1 FY2027 Net Revenue</w:t>
            </w:r>
          </w:p>
        </w:tc>
        <w:tc>
          <w:tcPr>
            <w:tcW w:type="dxa" w:w="1728"/>
          </w:tcPr>
          <w:p>
            <w:r>
              <w:rPr>
                <w:rFonts w:ascii="Calibri" w:hAnsi="Calibri"/>
                <w:sz w:val="22"/>
              </w:rPr>
              <w:t>$1,450M – $1,500M</w:t>
            </w:r>
          </w:p>
        </w:tc>
        <w:tc>
          <w:tcPr>
            <w:tcW w:type="dxa" w:w="1728"/>
          </w:tcPr>
          <w:p>
            <w:r>
              <w:rPr>
                <w:rFonts w:ascii="Calibri" w:hAnsi="Calibri"/>
                <w:sz w:val="22"/>
              </w:rPr>
              <w:t>—</w:t>
            </w:r>
          </w:p>
        </w:tc>
        <w:tc>
          <w:tcPr>
            <w:tcW w:type="dxa" w:w="1728"/>
          </w:tcPr>
          <w:p>
            <w:r>
              <w:rPr>
                <w:rFonts w:ascii="Calibri" w:hAnsi="Calibri"/>
                <w:sz w:val="22"/>
              </w:rPr>
              <w:t>$1,506.3M</w:t>
            </w:r>
          </w:p>
        </w:tc>
        <w:tc>
          <w:tcPr>
            <w:tcW w:type="dxa" w:w="1728"/>
          </w:tcPr>
          <w:p>
            <w:r>
              <w:rPr>
                <w:rFonts w:ascii="Calibri" w:hAnsi="Calibri"/>
                <w:sz w:val="22"/>
              </w:rPr>
              <w:t>No revision; consensus slightly above range top</w:t>
            </w:r>
          </w:p>
        </w:tc>
      </w:tr>
      <w:tr>
        <w:tc>
          <w:tcPr>
            <w:tcW w:type="dxa" w:w="1728"/>
          </w:tcPr>
          <w:p>
            <w:r>
              <w:rPr>
                <w:rFonts w:ascii="Calibri" w:hAnsi="Calibri"/>
                <w:sz w:val="22"/>
              </w:rPr>
              <w:t>Q1 FY2027 GAAP Net Loss/Share</w:t>
            </w:r>
          </w:p>
        </w:tc>
        <w:tc>
          <w:tcPr>
            <w:tcW w:type="dxa" w:w="1728"/>
          </w:tcPr>
          <w:p>
            <w:r>
              <w:rPr>
                <w:rFonts w:ascii="Calibri" w:hAnsi="Calibri"/>
                <w:sz w:val="22"/>
              </w:rPr>
              <w:t>$(0.23) – $(0.15)</w:t>
            </w:r>
          </w:p>
        </w:tc>
        <w:tc>
          <w:tcPr>
            <w:tcW w:type="dxa" w:w="1728"/>
          </w:tcPr>
          <w:p>
            <w:r>
              <w:rPr>
                <w:rFonts w:ascii="Calibri" w:hAnsi="Calibri"/>
                <w:sz w:val="22"/>
              </w:rPr>
              <w:t>—</w:t>
            </w:r>
          </w:p>
        </w:tc>
        <w:tc>
          <w:tcPr>
            <w:tcW w:type="dxa" w:w="1728"/>
          </w:tcPr>
          <w:p>
            <w:r>
              <w:rPr>
                <w:rFonts w:ascii="Calibri" w:hAnsi="Calibri"/>
                <w:sz w:val="22"/>
              </w:rPr>
              <w:t>N/A (Operating EPS consensus: $0.33)</w:t>
            </w:r>
          </w:p>
        </w:tc>
        <w:tc>
          <w:tcPr>
            <w:tcW w:type="dxa" w:w="1728"/>
          </w:tcPr>
          <w:p>
            <w:r>
              <w:rPr>
                <w:rFonts w:ascii="Calibri" w:hAnsi="Calibri"/>
                <w:sz w:val="22"/>
              </w:rPr>
              <w:t>No revision; GAAP vs. operating basis not directly comparable</w:t>
            </w:r>
          </w:p>
        </w:tc>
      </w:tr>
      <w:tr>
        <w:tc>
          <w:tcPr>
            <w:tcW w:type="dxa" w:w="1728"/>
          </w:tcPr>
          <w:p>
            <w:r>
              <w:rPr>
                <w:rFonts w:ascii="Calibri" w:hAnsi="Calibri"/>
                <w:sz w:val="22"/>
              </w:rPr>
              <w:t>FY2027 Net Bookings</w:t>
            </w:r>
          </w:p>
        </w:tc>
        <w:tc>
          <w:tcPr>
            <w:tcW w:type="dxa" w:w="1728"/>
          </w:tcPr>
          <w:p>
            <w:r>
              <w:rPr>
                <w:rFonts w:ascii="Calibri" w:hAnsi="Calibri"/>
                <w:sz w:val="22"/>
              </w:rPr>
              <w:t>$8,000M – $8,200M</w:t>
            </w:r>
          </w:p>
        </w:tc>
        <w:tc>
          <w:tcPr>
            <w:tcW w:type="dxa" w:w="1728"/>
          </w:tcPr>
          <w:p>
            <w:r>
              <w:rPr>
                <w:rFonts w:ascii="Calibri" w:hAnsi="Calibri"/>
                <w:sz w:val="22"/>
              </w:rPr>
              <w:t>—</w:t>
            </w:r>
          </w:p>
        </w:tc>
        <w:tc>
          <w:tcPr>
            <w:tcW w:type="dxa" w:w="1728"/>
          </w:tcPr>
          <w:p>
            <w:r>
              <w:rPr>
                <w:rFonts w:ascii="Calibri" w:hAnsi="Calibri"/>
                <w:sz w:val="22"/>
              </w:rPr>
              <w:t>$8,542.8M</w:t>
            </w:r>
          </w:p>
        </w:tc>
        <w:tc>
          <w:tcPr>
            <w:tcW w:type="dxa" w:w="1728"/>
          </w:tcPr>
          <w:p>
            <w:r>
              <w:rPr>
                <w:rFonts w:ascii="Calibri" w:hAnsi="Calibri"/>
                <w:sz w:val="22"/>
              </w:rPr>
              <w:t>No revision; consensus ~4% above guidance top, implying Street prices in GTA VI upside</w:t>
            </w:r>
          </w:p>
        </w:tc>
      </w:tr>
      <w:tr>
        <w:tc>
          <w:tcPr>
            <w:tcW w:type="dxa" w:w="1728"/>
          </w:tcPr>
          <w:p>
            <w:r>
              <w:rPr>
                <w:rFonts w:ascii="Calibri" w:hAnsi="Calibri"/>
                <w:sz w:val="22"/>
              </w:rPr>
              <w:t>FY2027 Operating Cash Flow</w:t>
            </w:r>
          </w:p>
        </w:tc>
        <w:tc>
          <w:tcPr>
            <w:tcW w:type="dxa" w:w="1728"/>
          </w:tcPr>
          <w:p>
            <w:r>
              <w:rPr>
                <w:rFonts w:ascii="Calibri" w:hAnsi="Calibri"/>
                <w:sz w:val="22"/>
              </w:rPr>
              <w:t>&gt;$1,000M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revision; management expects net cash position by FY2027 year-end</w:t>
            </w:r>
          </w:p>
        </w:tc>
      </w:tr>
      <w:tr>
        <w:tc>
          <w:tcPr>
            <w:tcW w:type="dxa" w:w="1728"/>
          </w:tcPr>
          <w:p>
            <w:r>
              <w:rPr>
                <w:rFonts w:ascii="Calibri" w:hAnsi="Calibri"/>
                <w:sz w:val="22"/>
              </w:rPr>
              <w:t>GTA VI Launch Date</w:t>
            </w:r>
          </w:p>
        </w:tc>
        <w:tc>
          <w:tcPr>
            <w:tcW w:type="dxa" w:w="1728"/>
          </w:tcPr>
          <w:p>
            <w:r>
              <w:rPr>
                <w:rFonts w:ascii="Calibri" w:hAnsi="Calibri"/>
                <w:sz w:val="22"/>
              </w:rPr>
              <w:t>November 19, 2026 (PS5 &amp; Xbox Series X|S only)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Confirmed; Rockstar marketing campaign underway as of summer 2026</w:t>
            </w:r>
          </w:p>
        </w:tc>
      </w:tr>
    </w:tbl>
    <w:p>
      <w:r>
        <w:rPr>
          <w:rFonts w:ascii="Calibri" w:hAnsi="Calibri"/>
          <w:color w:val="525866"/>
          <w:sz w:val="22"/>
        </w:rPr>
        <w:t>Source: Company Q4 FY2026 Earnings Release and Earnings Call Transcript (May 21,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Q1 FY2027 have been essentially flat since the post-earnings baseline, tracking guidance closely. Full-year FY2027 consensus has edged up modestly (+0.6%), with the Street embedding GTA VI upside above the guidance range — a gap that represents both opportunity and risk if the launch disappoints.</w:t>
      </w:r>
    </w:p>
    <w:p>
      <w:pPr>
        <w:pStyle w:val="Heading3"/>
      </w:pPr>
      <w:r>
        <w:rPr>
          <w:rFonts w:ascii="Calibri" w:hAnsi="Calibri"/>
          <w:b/>
          <w:color w:val="3B4259"/>
          <w:sz w:val="24"/>
        </w:rPr>
        <w:t>Table 4 — Estimate Revision Tracker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(as of May 29, 2026)</w:t>
            </w:r>
          </w:p>
        </w:tc>
        <w:tc>
          <w:tcPr>
            <w:tcW w:type="dxa" w:w="1080"/>
            <w:shd w:val="clear" w:color="auto" w:fill="3B4259"/>
          </w:tcPr>
          <w:p>
            <w:r>
              <w:rPr>
                <w:rFonts w:ascii="Calibri" w:hAnsi="Calibri"/>
                <w:b/>
                <w:color w:val="FFFFFF"/>
                <w:sz w:val="22"/>
              </w:rPr>
              <w:t>Current Consensus (Aug 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21,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Bookings (Q1 FY2027)</w:t>
            </w:r>
          </w:p>
        </w:tc>
        <w:tc>
          <w:tcPr>
            <w:tcW w:type="dxa" w:w="1080"/>
          </w:tcPr>
          <w:p>
            <w:r>
              <w:rPr>
                <w:rFonts w:ascii="Calibri" w:hAnsi="Calibri"/>
                <w:sz w:val="22"/>
              </w:rPr>
              <w:t>$1,358.8M</w:t>
            </w:r>
          </w:p>
        </w:tc>
        <w:tc>
          <w:tcPr>
            <w:tcW w:type="dxa" w:w="1080"/>
          </w:tcPr>
          <w:p>
            <w:r>
              <w:rPr>
                <w:rFonts w:ascii="Calibri" w:hAnsi="Calibri"/>
                <w:sz w:val="22"/>
              </w:rPr>
              <w:t>$1,362.8M</w:t>
            </w:r>
          </w:p>
        </w:tc>
        <w:tc>
          <w:tcPr>
            <w:tcW w:type="dxa" w:w="1080"/>
          </w:tcPr>
          <w:p>
            <w:r>
              <w:rPr>
                <w:rFonts w:ascii="Calibri" w:hAnsi="Calibri"/>
                <w:sz w:val="22"/>
              </w:rPr>
              <w:t>+0.3%</w:t>
            </w:r>
          </w:p>
        </w:tc>
        <w:tc>
          <w:tcPr>
            <w:tcW w:type="dxa" w:w="1080"/>
          </w:tcPr>
          <w:p>
            <w:r>
              <w:rPr>
                <w:rFonts w:ascii="Calibri" w:hAnsi="Calibri"/>
                <w:sz w:val="22"/>
              </w:rPr>
              <w:t>$1,320–$1,370M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vs. mid</w:t>
            </w:r>
          </w:p>
        </w:tc>
      </w:tr>
      <w:tr>
        <w:tc>
          <w:tcPr>
            <w:tcW w:type="dxa" w:w="1080"/>
          </w:tcPr>
          <w:p>
            <w:r>
              <w:rPr>
                <w:rFonts w:ascii="Calibri" w:hAnsi="Calibri"/>
                <w:sz w:val="22"/>
              </w:rPr>
              <w:t>RCS (Q1 FY2027)</w:t>
            </w:r>
          </w:p>
        </w:tc>
        <w:tc>
          <w:tcPr>
            <w:tcW w:type="dxa" w:w="1080"/>
          </w:tcPr>
          <w:p>
            <w:r>
              <w:rPr>
                <w:rFonts w:ascii="Calibri" w:hAnsi="Calibri"/>
                <w:sz w:val="22"/>
              </w:rPr>
              <w:t>$1,121.2M</w:t>
            </w:r>
          </w:p>
        </w:tc>
        <w:tc>
          <w:tcPr>
            <w:tcW w:type="dxa" w:w="1080"/>
          </w:tcPr>
          <w:p>
            <w:r>
              <w:rPr>
                <w:rFonts w:ascii="Calibri" w:hAnsi="Calibri"/>
                <w:sz w:val="22"/>
              </w:rPr>
              <w:t>$1,182.0M</w:t>
            </w:r>
          </w:p>
        </w:tc>
        <w:tc>
          <w:tcPr>
            <w:tcW w:type="dxa" w:w="1080"/>
          </w:tcPr>
          <w:p>
            <w:r>
              <w:rPr>
                <w:rFonts w:ascii="Calibri" w:hAnsi="Calibri"/>
                <w:sz w:val="22"/>
              </w:rPr>
              <w:t>+5.4%</w:t>
            </w:r>
          </w:p>
        </w:tc>
        <w:tc>
          <w:tcPr>
            <w:tcW w:type="dxa" w:w="1080"/>
          </w:tcPr>
          <w:p>
            <w:r>
              <w:rPr>
                <w:rFonts w:ascii="Calibri" w:hAnsi="Calibri"/>
                <w:sz w:val="22"/>
              </w:rPr>
              <w:t>~-3% YoY (implied ~$1,219M)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-3.0% vs. implied mid</w:t>
            </w:r>
          </w:p>
        </w:tc>
      </w:tr>
      <w:tr>
        <w:tc>
          <w:tcPr>
            <w:tcW w:type="dxa" w:w="1080"/>
          </w:tcPr>
          <w:p>
            <w:r>
              <w:rPr>
                <w:rFonts w:ascii="Calibri" w:hAnsi="Calibri"/>
                <w:sz w:val="22"/>
              </w:rPr>
              <w:t>Net Bookings (FY2027)</w:t>
            </w:r>
          </w:p>
        </w:tc>
        <w:tc>
          <w:tcPr>
            <w:tcW w:type="dxa" w:w="1080"/>
          </w:tcPr>
          <w:p>
            <w:r>
              <w:rPr>
                <w:rFonts w:ascii="Calibri" w:hAnsi="Calibri"/>
                <w:sz w:val="22"/>
              </w:rPr>
              <w:t>$8,489.5M</w:t>
            </w:r>
          </w:p>
        </w:tc>
        <w:tc>
          <w:tcPr>
            <w:tcW w:type="dxa" w:w="1080"/>
          </w:tcPr>
          <w:p>
            <w:r>
              <w:rPr>
                <w:rFonts w:ascii="Calibri" w:hAnsi="Calibri"/>
                <w:sz w:val="22"/>
              </w:rPr>
              <w:t>$8,542.8M</w:t>
            </w:r>
          </w:p>
        </w:tc>
        <w:tc>
          <w:tcPr>
            <w:tcW w:type="dxa" w:w="1080"/>
          </w:tcPr>
          <w:p>
            <w:r>
              <w:rPr>
                <w:rFonts w:ascii="Calibri" w:hAnsi="Calibri"/>
                <w:sz w:val="22"/>
              </w:rPr>
              <w:t>+0.6%</w:t>
            </w:r>
          </w:p>
        </w:tc>
        <w:tc>
          <w:tcPr>
            <w:tcW w:type="dxa" w:w="1080"/>
          </w:tcPr>
          <w:p>
            <w:r>
              <w:rPr>
                <w:rFonts w:ascii="Calibri" w:hAnsi="Calibri"/>
                <w:sz w:val="22"/>
              </w:rPr>
              <w:t>$8,000–$8,200M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+4.2% vs. mid</w:t>
            </w:r>
          </w:p>
        </w:tc>
      </w:tr>
      <w:tr>
        <w:tc>
          <w:tcPr>
            <w:tcW w:type="dxa" w:w="1080"/>
          </w:tcPr>
          <w:p>
            <w:r>
              <w:rPr>
                <w:rFonts w:ascii="Calibri" w:hAnsi="Calibri"/>
                <w:sz w:val="22"/>
              </w:rPr>
              <w:t>RCS (FY2027)</w:t>
            </w:r>
          </w:p>
        </w:tc>
        <w:tc>
          <w:tcPr>
            <w:tcW w:type="dxa" w:w="1080"/>
          </w:tcPr>
          <w:p>
            <w:r>
              <w:rPr>
                <w:rFonts w:ascii="Calibri" w:hAnsi="Calibri"/>
                <w:sz w:val="22"/>
              </w:rPr>
              <w:t>$5,432.4M</w:t>
            </w:r>
          </w:p>
        </w:tc>
        <w:tc>
          <w:tcPr>
            <w:tcW w:type="dxa" w:w="1080"/>
          </w:tcPr>
          <w:p>
            <w:r>
              <w:rPr>
                <w:rFonts w:ascii="Calibri" w:hAnsi="Calibri"/>
                <w:sz w:val="22"/>
              </w:rPr>
              <w:t>$5,402.1M</w:t>
            </w:r>
          </w:p>
        </w:tc>
        <w:tc>
          <w:tcPr>
            <w:tcW w:type="dxa" w:w="1080"/>
          </w:tcPr>
          <w:p>
            <w:r>
              <w:rPr>
                <w:rFonts w:ascii="Calibri" w:hAnsi="Calibri"/>
                <w:sz w:val="22"/>
              </w:rPr>
              <w:t>-0.6%</w:t>
            </w:r>
          </w:p>
        </w:tc>
        <w:tc>
          <w:tcPr>
            <w:tcW w:type="dxa" w:w="1080"/>
          </w:tcPr>
          <w:p>
            <w:r>
              <w:rPr>
                <w:rFonts w:ascii="Calibri" w:hAnsi="Calibri"/>
                <w:sz w:val="22"/>
              </w:rPr>
              <w:t>Flat YoY (~$5,300M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+1.9% vs. implied</w:t>
            </w:r>
          </w:p>
        </w:tc>
      </w:tr>
      <w:tr>
        <w:tc>
          <w:tcPr>
            <w:tcW w:type="dxa" w:w="1080"/>
          </w:tcPr>
          <w:p>
            <w:r>
              <w:rPr>
                <w:rFonts w:ascii="Calibri" w:hAnsi="Calibri"/>
                <w:sz w:val="22"/>
              </w:rPr>
              <w:t>EPS – Diluted Operating (Q1 FY2027)</w:t>
            </w:r>
          </w:p>
        </w:tc>
        <w:tc>
          <w:tcPr>
            <w:tcW w:type="dxa" w:w="1080"/>
          </w:tcPr>
          <w:p>
            <w:r>
              <w:rPr>
                <w:rFonts w:ascii="Calibri" w:hAnsi="Calibri"/>
                <w:sz w:val="22"/>
              </w:rPr>
              <w:t>$0.34</w:t>
            </w:r>
          </w:p>
        </w:tc>
        <w:tc>
          <w:tcPr>
            <w:tcW w:type="dxa" w:w="1080"/>
          </w:tcPr>
          <w:p>
            <w:r>
              <w:rPr>
                <w:rFonts w:ascii="Calibri" w:hAnsi="Calibri"/>
                <w:sz w:val="22"/>
              </w:rPr>
              <w:t>$0.33</w:t>
            </w:r>
          </w:p>
        </w:tc>
        <w:tc>
          <w:tcPr>
            <w:tcW w:type="dxa" w:w="1080"/>
          </w:tcPr>
          <w:p>
            <w:r>
              <w:rPr>
                <w:rFonts w:ascii="Calibri" w:hAnsi="Calibri"/>
                <w:sz w:val="22"/>
              </w:rPr>
              <w:t>-2.9%</w:t>
            </w:r>
          </w:p>
        </w:tc>
        <w:tc>
          <w:tcPr>
            <w:tcW w:type="dxa" w:w="1080"/>
          </w:tcPr>
          <w:p>
            <w:r>
              <w:rPr>
                <w:rFonts w:ascii="Calibri" w:hAnsi="Calibri"/>
                <w:sz w:val="22"/>
              </w:rPr>
              <w:t>N/A (GAAP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(FY2027)</w:t>
            </w:r>
          </w:p>
        </w:tc>
        <w:tc>
          <w:tcPr>
            <w:tcW w:type="dxa" w:w="1080"/>
          </w:tcPr>
          <w:p>
            <w:r>
              <w:rPr>
                <w:rFonts w:ascii="Calibri" w:hAnsi="Calibri"/>
                <w:sz w:val="22"/>
              </w:rPr>
              <w:t>$6.63</w:t>
            </w:r>
          </w:p>
        </w:tc>
        <w:tc>
          <w:tcPr>
            <w:tcW w:type="dxa" w:w="1080"/>
          </w:tcPr>
          <w:p>
            <w:r>
              <w:rPr>
                <w:rFonts w:ascii="Calibri" w:hAnsi="Calibri"/>
                <w:sz w:val="22"/>
              </w:rPr>
              <w:t>$6.70</w:t>
            </w:r>
          </w:p>
        </w:tc>
        <w:tc>
          <w:tcPr>
            <w:tcW w:type="dxa" w:w="1080"/>
          </w:tcPr>
          <w:p>
            <w:r>
              <w:rPr>
                <w:rFonts w:ascii="Calibri" w:hAnsi="Calibri"/>
                <w:sz w:val="22"/>
              </w:rPr>
              <w:t>+1.1%</w:t>
            </w:r>
          </w:p>
        </w:tc>
        <w:tc>
          <w:tcPr>
            <w:tcW w:type="dxa" w:w="1080"/>
          </w:tcPr>
          <w:p>
            <w:r>
              <w:rPr>
                <w:rFonts w:ascii="Calibri" w:hAnsi="Calibri"/>
                <w:sz w:val="22"/>
              </w:rPr>
              <w:t>N/A (GAAP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(as-of date May 29, 2026 for baseline; current as of August 6, 2026). Company guidance per Q4 FY2026 Earnings Release (May 21, 2026).</w:t>
      </w:r>
    </w:p>
    <w:p>
      <w:r>
        <w:rPr>
          <w:rFonts w:ascii="Calibri" w:hAnsi="Calibri"/>
          <w:color w:val="525866"/>
          <w:sz w:val="22"/>
        </w:rPr>
        <w:t>The RCS Q1 estimate has actually moved up +5.4% from the post-earnings baseline, suggesting the Street is less pessimistic on mobile than management's guidance implies — this divergence is the key watch item for the print. Full-year consensus sitting 4.2% above the guidance midpoint reflects GTA VI optionality being priced in, creating a high bar for the November launch.</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TTWO has underperformed the S&amp;P 500 since the May 21 earnings print but roughly tracked the gaming sector (ESPO ETF). The stock's modest decline despite strong Q4 results and bullish FY2027 guidance reflects multiple compression as the market awaits GTA VI execution proof — sentiment, not revisions, is driving the stock.</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TTWO vs. ESPO (Video Games ETF) vs. S&amp;P 500 — Indexed to 100 at May 21, 2026 (Q4 FY2026 Earnings Date). Source: Yahoo Finance / Stock Price Data.</w:t>
      </w:r>
    </w:p>
    <w:p>
      <w:r>
        <w:rPr>
          <w:rFonts w:ascii="Calibri" w:hAnsi="Calibri"/>
          <w:b/>
          <w:color w:val="525866"/>
          <w:sz w:val="22"/>
        </w:rPr>
        <w:t xml:space="preserve">Sector ETF: </w:t>
      </w:r>
      <w:r>
        <w:rPr>
          <w:rFonts w:ascii="Calibri" w:hAnsi="Calibri"/>
          <w:color w:val="525866"/>
          <w:sz w:val="22"/>
        </w:rPr>
        <w:t>ESPO (VanEck Video Gaming and eSports ETF) — appropriate for TTWO's interactive entertainment sub-sector.</w:t>
      </w:r>
    </w:p>
    <w:p>
      <w:r>
        <w:rPr>
          <w:rFonts w:ascii="Calibri" w:hAnsi="Calibri"/>
          <w:color w:val="525866"/>
          <w:sz w:val="22"/>
        </w:rPr>
        <w:t>Performance since May 21, 2026 earnings (through August 6, 2026): TTWO -2.4% | ESPO +5.4% | S&amp;P 500 +3.5%. TTWO's underperformance vs. both benchmarks reflects the stock's idiosyncratic GTA VI risk premium rather than sector-wide headwinds. The stock surged in after-hours on May 21 following the GTA VI launch date confirmation, but has since given back gains as the market awaits tangible pre-launch signals. NTM EV/EBITDA of 21.8x (vs. 24.6x one month ago) reflects modest multiple compression. Source: Yahoo Finance / Stock Price Data; Visible Alpha (NTM multiples).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last earnings is the confirmation of GTA VI's November 19 launch date and the commencement of Rockstar's marketing campaign — the market is now in a "show me" mode ahead of the biggest entertainment launch in history.</w:t>
      </w:r>
    </w:p>
    <w:p>
      <w:pPr>
        <w:pStyle w:val="ListBullet"/>
        <w:ind w:left="360" w:hanging="360"/>
      </w:pPr>
      <w:r>
        <w:rPr>
          <w:rFonts w:ascii="Calibri" w:hAnsi="Calibri"/>
          <w:b/>
          <w:color w:val="525866"/>
          <w:sz w:val="22"/>
        </w:rPr>
        <w:t>May 21, 2026 — Q4 FY2026 Earnings &amp; FY2027 Guidance Issued:</w:t>
      </w:r>
      <w:r>
        <w:rPr>
          <w:rFonts w:ascii="Calibri" w:hAnsi="Calibri"/>
          <w:color w:val="525866"/>
          <w:sz w:val="22"/>
        </w:rPr>
        <w:t xml:space="preserve"> TTWO reported Q4 net bookings of $1.58B (above guidance high end), confirmed GTA VI launch date of November 19, 2026 for PS5 and Xbox Series X|S, and guided FY2027 net bookings to $8.0–$8.2B. Management guided to operating cash flow &gt;$1B and a net cash position by FY2027 year-end. Stock surged in after-hours. Implication: Sets the stage for a transformational FY2027; Q1 is a transitional quarter before the GTA VI launch.</w:t>
      </w:r>
    </w:p>
    <w:p>
      <w:pPr>
        <w:pStyle w:val="ListBullet"/>
        <w:ind w:left="360" w:hanging="360"/>
      </w:pPr>
      <w:r>
        <w:rPr>
          <w:rFonts w:ascii="Calibri" w:hAnsi="Calibri"/>
          <w:b/>
          <w:color w:val="525866"/>
          <w:sz w:val="22"/>
        </w:rPr>
        <w:t>May 21, 2026 — GTA VI Marketing Campaign Confirmed:</w:t>
      </w:r>
      <w:r>
        <w:rPr>
          <w:rFonts w:ascii="Calibri" w:hAnsi="Calibri"/>
          <w:color w:val="525866"/>
          <w:sz w:val="22"/>
        </w:rPr>
        <w:t xml:space="preserve"> CEO Strauss Zelnick confirmed Rockstar Games will begin its GTA VI marketing campaign in summer 2026. As of the earnings call, the campaign was described as imminent. Implication: Marketing spend will weigh on Q1 and Q2 operating expenses, consistent with guidance for ~8% YoY opex growth in FY2027.</w:t>
      </w:r>
    </w:p>
    <w:p>
      <w:pPr>
        <w:pStyle w:val="ListBullet"/>
        <w:ind w:left="360" w:hanging="360"/>
      </w:pPr>
      <w:r>
        <w:rPr>
          <w:rFonts w:ascii="Calibri" w:hAnsi="Calibri"/>
          <w:b/>
          <w:color w:val="525866"/>
          <w:sz w:val="22"/>
        </w:rPr>
        <w:t>July 9, 2026 — Q1 FY2027 Earnings Date Announced:</w:t>
      </w:r>
      <w:r>
        <w:rPr>
          <w:rFonts w:ascii="Calibri" w:hAnsi="Calibri"/>
          <w:color w:val="525866"/>
          <w:sz w:val="22"/>
        </w:rPr>
        <w:t xml:space="preserve"> TTWO announced it will report Q1 FY2027 results on August 7, 2026 before the US market open. Implication: Confirms the reporting timeline; no pre-announcement or guidance revision was issued alongside this notice, suggesting no material deviation from guidance.</w:t>
      </w:r>
    </w:p>
    <w:p>
      <w:pPr>
        <w:pStyle w:val="ListBullet"/>
        <w:ind w:left="360" w:hanging="360"/>
      </w:pPr>
      <w:r>
        <w:rPr>
          <w:rFonts w:ascii="Calibri" w:hAnsi="Calibri"/>
          <w:b/>
          <w:color w:val="525866"/>
          <w:sz w:val="22"/>
        </w:rPr>
        <w:t>July 31, 2026 — News Digest (Bullish Investor Sentiment):</w:t>
      </w:r>
      <w:r>
        <w:rPr>
          <w:rFonts w:ascii="Calibri" w:hAnsi="Calibri"/>
          <w:color w:val="525866"/>
          <w:sz w:val="22"/>
        </w:rPr>
        <w:t xml:space="preserve"> Market commentary noted bullish investor sentiment driven by GTA VI demand anticipation, with current consensus for FY2027 bookings of ~$8.6B above the $8.0–$8.2B guidance range. Implication: The Street is already pricing in GTA VI upside, raising the bar for the November launch.</w:t>
      </w:r>
    </w:p>
    <w:p>
      <w:pPr>
        <w:pStyle w:val="ListBullet"/>
        <w:ind w:left="360" w:hanging="360"/>
      </w:pPr>
      <w:r>
        <w:rPr>
          <w:rFonts w:ascii="Calibri" w:hAnsi="Calibri"/>
          <w:b/>
          <w:color w:val="525866"/>
          <w:sz w:val="22"/>
        </w:rPr>
        <w:t>August 4, 2026 — Electronic Arts Completes $55B Takeover, Delists from Nasdaq:</w:t>
      </w:r>
      <w:r>
        <w:rPr>
          <w:rFonts w:ascii="Calibri" w:hAnsi="Calibri"/>
          <w:color w:val="525866"/>
          <w:sz w:val="22"/>
        </w:rPr>
        <w:t xml:space="preserve"> EA was acquired by a consortium and delisted. Implication: Removes a major competitor from the public market; could modestly benefit TTWO's competitive positioning in sports gaming (NBA 2K vs. EA Sports FC) and reduce sector-level selling pressure from EA-related index rebalancing.</w:t>
      </w:r>
    </w:p>
    <w:p>
      <w:r>
        <w:br w:type="page"/>
      </w:r>
    </w:p>
    <w:p>
      <w:pPr>
        <w:pStyle w:val="Heading2"/>
      </w:pPr>
      <w:r>
        <w:rPr>
          <w:rFonts w:ascii="Calibri" w:hAnsi="Calibri"/>
          <w:b/>
          <w:color w:val="3B4259"/>
          <w:sz w:val="28"/>
        </w:rPr>
        <w:t>7. Peer Commentary Read-Throughs</w:t>
      </w:r>
    </w:p>
    <w:p>
      <w:r>
        <w:rPr>
          <w:rFonts w:ascii="Calibri" w:hAnsi="Calibri"/>
          <w:b/>
          <w:color w:val="525866"/>
          <w:sz w:val="22"/>
        </w:rPr>
        <w:t xml:space="preserve">Key Takeaway: </w:t>
      </w:r>
      <w:r>
        <w:rPr>
          <w:rFonts w:ascii="Calibri" w:hAnsi="Calibri"/>
          <w:color w:val="525866"/>
          <w:sz w:val="22"/>
        </w:rPr>
        <w:t>Sony's Q1 FY2027 commentary (July 31) is the most relevant read-through — it confirms a strong second-half content pipeline on PlayStation and a stable console install base, both positive for GTA VI's November launch. Roblox's Q2 2026 results (July 30) show monetization weakness specific to its UGC platform that has limited direct read-through to TTWO's premium game business.</w:t>
      </w:r>
    </w:p>
    <w:p>
      <w:r>
        <w:rPr>
          <w:rFonts w:ascii="Calibri" w:hAnsi="Calibri"/>
          <w:b/>
          <w:color w:val="525866"/>
          <w:sz w:val="22"/>
        </w:rPr>
        <w:t xml:space="preserve">Scope: </w:t>
      </w:r>
      <w:r>
        <w:rPr>
          <w:rFonts w:ascii="Calibri" w:hAnsi="Calibri"/>
          <w:color w:val="525866"/>
          <w:sz w:val="22"/>
        </w:rPr>
        <w:t>Only peer commentary disclosed between June 7, 2026 and August 6, 2026 that pertains to the peer's then-current or forward reporting period is included below. Prior-quarter results commentary (e.g., a peer discussing its own past quarter's performance without forward-looking color) is excluded.</w:t>
      </w:r>
    </w:p>
    <w:p>
      <w:pPr>
        <w:pStyle w:val="Heading3"/>
      </w:pPr>
      <w:r>
        <w:rPr>
          <w:rFonts w:ascii="Calibri" w:hAnsi="Calibri"/>
          <w:b/>
          <w:color w:val="3B4259"/>
          <w:sz w:val="24"/>
        </w:rPr>
        <w:t>Sony Group Corporation (SONY) — Q1 FY2027 Earnings Call, July 31, 2026</w:t>
      </w:r>
    </w:p>
    <w:p>
      <w:r>
        <w:rPr>
          <w:rFonts w:ascii="Calibri" w:hAnsi="Calibri"/>
          <w:b/>
          <w:color w:val="525866"/>
          <w:sz w:val="22"/>
        </w:rPr>
        <w:t xml:space="preserve">Relevance: </w:t>
      </w:r>
      <w:r>
        <w:rPr>
          <w:rFonts w:ascii="Calibri" w:hAnsi="Calibri"/>
          <w:color w:val="525866"/>
          <w:sz w:val="22"/>
        </w:rPr>
        <w:t>Sony is the operator of the PlayStation platform, which is the primary console for GTA VI's November 19 launch. Sony's commentary on PS5 hardware supply, install base growth, and the second-half content pipeline is directly relevant to TTWO's GTA VI launch environment.</w:t>
      </w:r>
    </w:p>
    <w:p>
      <w:pPr>
        <w:pStyle w:val="ListBullet"/>
        <w:ind w:left="360" w:hanging="360"/>
      </w:pPr>
      <w:r>
        <w:rPr>
          <w:rFonts w:ascii="Calibri" w:hAnsi="Calibri"/>
          <w:b/>
          <w:color w:val="525866"/>
          <w:sz w:val="22"/>
        </w:rPr>
        <w:t>Strong Second-Half Content Pipeline:</w:t>
      </w:r>
      <w:r>
        <w:rPr>
          <w:rFonts w:ascii="Calibri" w:hAnsi="Calibri"/>
          <w:color w:val="525866"/>
          <w:sz w:val="22"/>
        </w:rPr>
        <w:t xml:space="preserve"> Sony stated: "We expect further improvements in engagement metrics going forward, because many major titles are scheduled to be released toward the end of calendar year." Sony specifically noted that "towards the second half of this fiscal year, measure [major] contents are set to be released. And not only the first party IP, but the third party IPs measure titles are coming up in the second half, and there will be a boom or bust." This directly encompasses GTA VI's November 19 release window. </w:t>
      </w:r>
    </w:p>
    <w:p>
      <w:pPr>
        <w:pStyle w:val="ListBullet"/>
        <w:ind w:left="360" w:hanging="360"/>
      </w:pPr>
      <w:r>
        <w:rPr>
          <w:rFonts w:ascii="Calibri" w:hAnsi="Calibri"/>
          <w:b/>
          <w:color w:val="525866"/>
          <w:sz w:val="22"/>
        </w:rPr>
        <w:t>PS5 Hardware Supply Secured:</w:t>
      </w:r>
      <w:r>
        <w:rPr>
          <w:rFonts w:ascii="Calibri" w:hAnsi="Calibri"/>
          <w:color w:val="525866"/>
          <w:sz w:val="22"/>
        </w:rPr>
        <w:t xml:space="preserve"> Sony confirmed it has "secured the quantity of memory necessary to meet our projected sales volume for the current fiscal year" (ending March 31, 2027), with "no change to our plan for hardware profitability." Sony also stated its continued aim "for further growth of the install base." </w:t>
      </w:r>
    </w:p>
    <w:p>
      <w:pPr>
        <w:pStyle w:val="ListBullet"/>
        <w:ind w:left="360" w:hanging="360"/>
      </w:pPr>
      <w:r>
        <w:rPr>
          <w:rFonts w:ascii="Calibri" w:hAnsi="Calibri"/>
          <w:b/>
          <w:color w:val="525866"/>
          <w:sz w:val="22"/>
        </w:rPr>
        <w:t>Live Services Remain Healthy:</w:t>
      </w:r>
      <w:r>
        <w:rPr>
          <w:rFonts w:ascii="Calibri" w:hAnsi="Calibri"/>
          <w:color w:val="525866"/>
          <w:sz w:val="22"/>
        </w:rPr>
        <w:t xml:space="preserve"> Sony noted live service titles "continue to contribute steadily to revenue," with Marathon "maintaining a high user retention rate while also acquiring new users." This is broadly positive for TTWO's GTA Online and GTA+ live service ecosystem.</w:t>
      </w:r>
    </w:p>
    <w:p>
      <w:pPr>
        <w:pStyle w:val="ListBullet"/>
        <w:ind w:left="360" w:hanging="360"/>
      </w:pPr>
      <w:r>
        <w:rPr>
          <w:rFonts w:ascii="Calibri" w:hAnsi="Calibri"/>
          <w:b/>
          <w:color w:val="525866"/>
          <w:sz w:val="22"/>
        </w:rPr>
        <w:t>Digitalization Accelerating:</w:t>
      </w:r>
      <w:r>
        <w:rPr>
          <w:rFonts w:ascii="Calibri" w:hAnsi="Calibri"/>
          <w:color w:val="525866"/>
          <w:sz w:val="22"/>
        </w:rPr>
        <w:t xml:space="preserve"> Sony announced it will stop manufacturing game discs from January 2028, noting "a large part is already digitized" and anticipating "no negative impact on our business." This reinforces the industry-wide digital shift that benefits TTWO's direct-to-consumer and digital distribution economics.</w:t>
      </w:r>
    </w:p>
    <w:p>
      <w:r>
        <w:rPr>
          <w:rFonts w:ascii="Calibri" w:hAnsi="Calibri"/>
          <w:b/>
          <w:color w:val="525866"/>
          <w:sz w:val="22"/>
        </w:rPr>
        <w:t xml:space="preserve">Read-Through Assessment: </w:t>
      </w:r>
      <w:r>
        <w:rPr>
          <w:rFonts w:ascii="Calibri" w:hAnsi="Calibri"/>
          <w:color w:val="525866"/>
          <w:sz w:val="22"/>
        </w:rPr>
        <w:t>Positive for TTWO. Sony's confirmation of a robust second-half content pipeline, secured PS5 hardware supply, and growing install base are all constructive for GTA VI's November launch environment. The "boom or bust" framing around major third-party titles is a double-edged acknowledgment of execution risk, but the overall tone is supportive.</w:t>
      </w:r>
    </w:p>
    <w:p>
      <w:r>
        <w:rPr>
          <w:rFonts w:ascii="Calibri" w:hAnsi="Calibri"/>
          <w:b/>
          <w:color w:val="525866"/>
          <w:sz w:val="22"/>
        </w:rPr>
        <w:t xml:space="preserve">Limits: </w:t>
      </w:r>
      <w:r>
        <w:rPr>
          <w:rFonts w:ascii="Calibri" w:hAnsi="Calibri"/>
          <w:color w:val="525866"/>
          <w:sz w:val="22"/>
        </w:rPr>
        <w:t>Sony's commentary reflects the PlayStation platform broadly and does not speak to TTWO-specific demand signals. Sony's first-party titles (Marvel's Wolverine, God of War) compete for consumer attention and wallet share in the same holiday window as GTA VI. Sony's "uncertain business environment" caveat is a general macro hedge, not TTWO-specific.</w:t>
      </w:r>
    </w:p>
    <w:p>
      <w:pPr>
        <w:pStyle w:val="Heading3"/>
      </w:pPr>
      <w:r>
        <w:rPr>
          <w:rFonts w:ascii="Calibri" w:hAnsi="Calibri"/>
          <w:b/>
          <w:color w:val="3B4259"/>
          <w:sz w:val="24"/>
        </w:rPr>
        <w:t>Roblox Corporation (RBLX) — Q2 2026 Earnings Call, July 30, 2026</w:t>
      </w:r>
    </w:p>
    <w:p>
      <w:r>
        <w:rPr>
          <w:rFonts w:ascii="Calibri" w:hAnsi="Calibri"/>
          <w:b/>
          <w:color w:val="525866"/>
          <w:sz w:val="22"/>
        </w:rPr>
        <w:t xml:space="preserve">Relevance: </w:t>
      </w:r>
      <w:r>
        <w:rPr>
          <w:rFonts w:ascii="Calibri" w:hAnsi="Calibri"/>
          <w:color w:val="525866"/>
          <w:sz w:val="22"/>
        </w:rPr>
        <w:t>Roblox is a gaming platform with a large user base, particularly among younger demographics. Its commentary on engagement trends, monetization, and the broader gaming market provides some read-through to consumer gaming behavior, though the business models differ significantly.</w:t>
      </w:r>
    </w:p>
    <w:p>
      <w:pPr>
        <w:pStyle w:val="ListBullet"/>
        <w:ind w:left="360" w:hanging="360"/>
      </w:pPr>
      <w:r>
        <w:rPr>
          <w:rFonts w:ascii="Calibri" w:hAnsi="Calibri"/>
          <w:b/>
          <w:color w:val="525866"/>
          <w:sz w:val="22"/>
        </w:rPr>
        <w:t>Monetization Weakness Flagged for Q3 2026:</w:t>
      </w:r>
      <w:r>
        <w:rPr>
          <w:rFonts w:ascii="Calibri" w:hAnsi="Calibri"/>
          <w:color w:val="525866"/>
          <w:sz w:val="22"/>
        </w:rPr>
        <w:t xml:space="preserve"> Roblox guided Q3 2026 bookings to $1.58–$1.65B, representing a YoY decline of 14–18%, citing "monetization weakness is likely to continue." The CFO attributed this to a shift of engagement from "high monetizing 2025 vintage viral games to a combination of new and evergreen experiences with lower hourly monetization." Roblox also noted its recommendation algorithm changes are "optimizing for long term retention" at the expense of near-term monetization.</w:t>
      </w:r>
    </w:p>
    <w:p>
      <w:pPr>
        <w:pStyle w:val="ListBullet"/>
        <w:ind w:left="360" w:hanging="360"/>
      </w:pPr>
      <w:r>
        <w:rPr>
          <w:rFonts w:ascii="Calibri" w:hAnsi="Calibri"/>
          <w:b/>
          <w:color w:val="525866"/>
          <w:sz w:val="22"/>
        </w:rPr>
        <w:t>Engagement Trends Positive Despite Monetization Headwinds:</w:t>
      </w:r>
      <w:r>
        <w:rPr>
          <w:rFonts w:ascii="Calibri" w:hAnsi="Calibri"/>
          <w:color w:val="525866"/>
          <w:sz w:val="22"/>
        </w:rPr>
        <w:t xml:space="preserve"> Roblox stated it is "pretty happy with the engagement trends," with the 18-34 cohort growing ~40% YoY in the US. The platform is expanding its addressable market toward older demographics (18+), which represent 80% of the $200B global gaming market.</w:t>
      </w:r>
    </w:p>
    <w:p>
      <w:pPr>
        <w:pStyle w:val="ListBullet"/>
        <w:ind w:left="360" w:hanging="360"/>
      </w:pPr>
      <w:r>
        <w:rPr>
          <w:rFonts w:ascii="Calibri" w:hAnsi="Calibri"/>
          <w:b/>
          <w:color w:val="525866"/>
          <w:sz w:val="22"/>
        </w:rPr>
        <w:t>AI Investment Driving Higher Infrastructure Costs:</w:t>
      </w:r>
      <w:r>
        <w:rPr>
          <w:rFonts w:ascii="Calibri" w:hAnsi="Calibri"/>
          <w:color w:val="525866"/>
          <w:sz w:val="22"/>
        </w:rPr>
        <w:t xml:space="preserve"> Roblox flagged elevated infrastructure costs in Q3 and Q4 from AI-powered initiatives (Build, Roblox Reality, Moments), noting "about half of that is just fixed cost deleveraging coming off the back of the bookings reduction. And the other half is related to these investments in AI."</w:t>
      </w:r>
    </w:p>
    <w:p>
      <w:pPr>
        <w:pStyle w:val="ListBullet"/>
        <w:ind w:left="360" w:hanging="360"/>
      </w:pPr>
      <w:r>
        <w:rPr>
          <w:rFonts w:ascii="Calibri" w:hAnsi="Calibri"/>
          <w:b/>
          <w:color w:val="525866"/>
          <w:sz w:val="22"/>
        </w:rPr>
        <w:t>Q3 2026 Forward Guidance:</w:t>
      </w:r>
      <w:r>
        <w:rPr>
          <w:rFonts w:ascii="Calibri" w:hAnsi="Calibri"/>
          <w:color w:val="525866"/>
          <w:sz w:val="22"/>
        </w:rPr>
        <w:t xml:space="preserve"> Roblox declined to provide revised full-year guidance, citing "increasing variability and continued updates to our platform."</w:t>
      </w:r>
    </w:p>
    <w:p>
      <w:r>
        <w:rPr>
          <w:rFonts w:ascii="Calibri" w:hAnsi="Calibri"/>
          <w:b/>
          <w:color w:val="525866"/>
          <w:sz w:val="22"/>
        </w:rPr>
        <w:t xml:space="preserve">Read-Through Assessment: </w:t>
      </w:r>
      <w:r>
        <w:rPr>
          <w:rFonts w:ascii="Calibri" w:hAnsi="Calibri"/>
          <w:color w:val="525866"/>
          <w:sz w:val="22"/>
        </w:rPr>
        <w:t>Limited and mixed for TTWO. Roblox's monetization weakness is platform-specific (UGC content mix shift, algorithm changes) and does not reflect the premium AAA gaming market where TTWO operates. The positive engagement trends among 18-34 year-olds are broadly constructive for the gaming market heading into GTA VI's launch window.</w:t>
      </w:r>
    </w:p>
    <w:p>
      <w:r>
        <w:rPr>
          <w:rFonts w:ascii="Calibri" w:hAnsi="Calibri"/>
          <w:b/>
          <w:color w:val="525866"/>
          <w:sz w:val="22"/>
        </w:rPr>
        <w:t xml:space="preserve">Limits: </w:t>
      </w:r>
      <w:r>
        <w:rPr>
          <w:rFonts w:ascii="Calibri" w:hAnsi="Calibri"/>
          <w:color w:val="525866"/>
          <w:sz w:val="22"/>
        </w:rPr>
        <w:t>Roblox's business model (user-generated content, virtual currency, younger-skewing demographics) is fundamentally different from TTWO's premium publisher model. Roblox's monetization shortfall was driven by platform-specific algorithm changes and content mix shifts, not a broad consumer spending slowdown. The read-through to TTWO's RCS trends or GTA VI demand is minimal. Roblox's decision to withhold full-year guidance reflects internal platform uncertainty, not industry-wide conditions.</w:t>
      </w:r>
    </w:p>
    <w:p>
      <w:pPr>
        <w:pStyle w:val="Heading3"/>
      </w:pPr>
      <w:r>
        <w:rPr>
          <w:rFonts w:ascii="Calibri" w:hAnsi="Calibri"/>
          <w:b/>
          <w:color w:val="3B4259"/>
          <w:sz w:val="24"/>
        </w:rPr>
        <w:t>Peers Not Included — Rationale</w:t>
      </w:r>
    </w:p>
    <w:p>
      <w:pPr>
        <w:pStyle w:val="ListBullet"/>
        <w:ind w:left="360" w:hanging="360"/>
      </w:pPr>
      <w:r>
        <w:rPr>
          <w:rFonts w:ascii="Calibri" w:hAnsi="Calibri"/>
          <w:b/>
          <w:color w:val="525866"/>
          <w:sz w:val="22"/>
        </w:rPr>
        <w:t>Electronic Arts (EA):</w:t>
      </w:r>
      <w:r>
        <w:rPr>
          <w:rFonts w:ascii="Calibri" w:hAnsi="Calibri"/>
          <w:color w:val="525866"/>
          <w:sz w:val="22"/>
        </w:rPr>
        <w:t xml:space="preserve"> EA's last reported quarter was Q1 FY2027 (ended June 30, 2026), but EA completed a $55B take-private transaction on August 4, 2026 and delisted from Nasdaq. No Q1 FY2027 earnings call was held in the June 7–August 6 window. EA's most recent public earnings call (Q4 FY2026, May 2026) predates the 60-day window and pertained to a prior period.</w:t>
      </w:r>
    </w:p>
    <w:p>
      <w:pPr>
        <w:pStyle w:val="ListBullet"/>
        <w:ind w:left="360" w:hanging="360"/>
      </w:pPr>
      <w:r>
        <w:rPr>
          <w:rFonts w:ascii="Calibri" w:hAnsi="Calibri"/>
          <w:b/>
          <w:color w:val="525866"/>
          <w:sz w:val="22"/>
        </w:rPr>
        <w:t>NetEase (NTES):</w:t>
      </w:r>
      <w:r>
        <w:rPr>
          <w:rFonts w:ascii="Calibri" w:hAnsi="Calibri"/>
          <w:color w:val="525866"/>
          <w:sz w:val="22"/>
        </w:rPr>
        <w:t xml:space="preserve"> NTES announced Q2 2026 results will be released on August 20, 2026 — outside the current window. No forward-looking commentary pertaining to the current period was issued in the June 7–August 6 window.</w:t>
      </w:r>
    </w:p>
    <w:p>
      <w:pPr>
        <w:pStyle w:val="ListBullet"/>
        <w:ind w:left="360" w:hanging="360"/>
      </w:pPr>
      <w:r>
        <w:rPr>
          <w:rFonts w:ascii="Calibri" w:hAnsi="Calibri"/>
          <w:b/>
          <w:color w:val="525866"/>
          <w:sz w:val="22"/>
        </w:rPr>
        <w:t>Tencent (TCEHY):</w:t>
      </w:r>
      <w:r>
        <w:rPr>
          <w:rFonts w:ascii="Calibri" w:hAnsi="Calibri"/>
          <w:color w:val="525866"/>
          <w:sz w:val="22"/>
        </w:rPr>
        <w:t xml:space="preserve"> No earnings call or material forward-looking commentary pertaining to the current or forward period was identified in the June 7–August 6 window.</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the May 21 earnings print consists of sales — no open-market buys. The majority are 10b5-1 planned sales (pre-scheduled, not discretionary), which limits the negative signal. The one notable exception is Director Jon Moses, who executed two discretionary open-market sales in June, though the amounts are small relative to his total holdings.</w:t>
      </w:r>
    </w:p>
    <w:p>
      <w:pPr>
        <w:pStyle w:val="Heading3"/>
      </w:pPr>
      <w:r>
        <w:rPr>
          <w:rFonts w:ascii="Calibri" w:hAnsi="Calibri"/>
          <w:b/>
          <w:color w:val="3B4259"/>
          <w:sz w:val="24"/>
        </w:rPr>
        <w:t>Table 5 — Insider Transactions (May 21 – August 6,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Ellen F. Siminoff</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334 (167 + 167)</w:t>
            </w:r>
          </w:p>
        </w:tc>
        <w:tc>
          <w:tcPr>
            <w:tcW w:type="dxa" w:w="1440"/>
          </w:tcPr>
          <w:p>
            <w:r>
              <w:rPr>
                <w:rFonts w:ascii="Calibri" w:hAnsi="Calibri"/>
                <w:sz w:val="22"/>
              </w:rPr>
              <w:t>Jul 1, 2026</w:t>
            </w:r>
          </w:p>
        </w:tc>
        <w:tc>
          <w:tcPr>
            <w:tcW w:type="dxa" w:w="1440"/>
          </w:tcPr>
          <w:p>
            <w:r>
              <w:rPr>
                <w:rFonts w:ascii="Calibri" w:hAnsi="Calibri"/>
                <w:sz w:val="22"/>
              </w:rPr>
              <w:t>Pre-scheduled; sold via EFS 2020 Irrevocable Trust and D&amp;E Living Trust (indirect)</w:t>
            </w:r>
          </w:p>
        </w:tc>
      </w:tr>
      <w:tr>
        <w:tc>
          <w:tcPr>
            <w:tcW w:type="dxa" w:w="1440"/>
          </w:tcPr>
          <w:p>
            <w:r>
              <w:rPr>
                <w:rFonts w:ascii="Calibri" w:hAnsi="Calibri"/>
                <w:sz w:val="22"/>
              </w:rPr>
              <w:t>Jon J. Moses</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500</w:t>
            </w:r>
          </w:p>
        </w:tc>
        <w:tc>
          <w:tcPr>
            <w:tcW w:type="dxa" w:w="1440"/>
          </w:tcPr>
          <w:p>
            <w:r>
              <w:rPr>
                <w:rFonts w:ascii="Calibri" w:hAnsi="Calibri"/>
                <w:sz w:val="22"/>
              </w:rPr>
              <w:t>Jun 22, 2026</w:t>
            </w:r>
          </w:p>
        </w:tc>
        <w:tc>
          <w:tcPr>
            <w:tcW w:type="dxa" w:w="1440"/>
          </w:tcPr>
          <w:p>
            <w:r>
              <w:rPr>
                <w:rFonts w:ascii="Calibri" w:hAnsi="Calibri"/>
                <w:sz w:val="22"/>
              </w:rPr>
              <w:t>Discretionary; retains 21,868 shares after sale</w:t>
            </w:r>
          </w:p>
        </w:tc>
      </w:tr>
      <w:tr>
        <w:tc>
          <w:tcPr>
            <w:tcW w:type="dxa" w:w="1440"/>
          </w:tcPr>
          <w:p>
            <w:r>
              <w:rPr>
                <w:rFonts w:ascii="Calibri" w:hAnsi="Calibri"/>
                <w:sz w:val="22"/>
              </w:rPr>
              <w:t>Daniel P. Emerson</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4,419</w:t>
            </w:r>
          </w:p>
        </w:tc>
        <w:tc>
          <w:tcPr>
            <w:tcW w:type="dxa" w:w="1440"/>
          </w:tcPr>
          <w:p>
            <w:r>
              <w:rPr>
                <w:rFonts w:ascii="Calibri" w:hAnsi="Calibri"/>
                <w:sz w:val="22"/>
              </w:rPr>
              <w:t>Jun 16, 2026</w:t>
            </w:r>
          </w:p>
        </w:tc>
        <w:tc>
          <w:tcPr>
            <w:tcW w:type="dxa" w:w="1440"/>
          </w:tcPr>
          <w:p>
            <w:r>
              <w:rPr>
                <w:rFonts w:ascii="Calibri" w:hAnsi="Calibri"/>
                <w:sz w:val="22"/>
              </w:rPr>
              <w:t>Pre-scheduled; retains 113,988 shares</w:t>
            </w:r>
          </w:p>
        </w:tc>
      </w:tr>
      <w:tr>
        <w:tc>
          <w:tcPr>
            <w:tcW w:type="dxa" w:w="1440"/>
          </w:tcPr>
          <w:p>
            <w:r>
              <w:rPr>
                <w:rFonts w:ascii="Calibri" w:hAnsi="Calibri"/>
                <w:sz w:val="22"/>
              </w:rPr>
              <w:t>Jon J. Moses</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500</w:t>
            </w:r>
          </w:p>
        </w:tc>
        <w:tc>
          <w:tcPr>
            <w:tcW w:type="dxa" w:w="1440"/>
          </w:tcPr>
          <w:p>
            <w:r>
              <w:rPr>
                <w:rFonts w:ascii="Calibri" w:hAnsi="Calibri"/>
                <w:sz w:val="22"/>
              </w:rPr>
              <w:t>Jun 15, 2026</w:t>
            </w:r>
          </w:p>
        </w:tc>
        <w:tc>
          <w:tcPr>
            <w:tcW w:type="dxa" w:w="1440"/>
          </w:tcPr>
          <w:p>
            <w:r>
              <w:rPr>
                <w:rFonts w:ascii="Calibri" w:hAnsi="Calibri"/>
                <w:sz w:val="22"/>
              </w:rPr>
              <w:t>Discretionary; retains 22,368 shares after sale</w:t>
            </w:r>
          </w:p>
        </w:tc>
      </w:tr>
      <w:tr>
        <w:tc>
          <w:tcPr>
            <w:tcW w:type="dxa" w:w="1440"/>
          </w:tcPr>
          <w:p>
            <w:r>
              <w:rPr>
                <w:rFonts w:ascii="Calibri" w:hAnsi="Calibri"/>
                <w:sz w:val="22"/>
              </w:rPr>
              <w:t>Daniel P. Emerson</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4,421</w:t>
            </w:r>
          </w:p>
        </w:tc>
        <w:tc>
          <w:tcPr>
            <w:tcW w:type="dxa" w:w="1440"/>
          </w:tcPr>
          <w:p>
            <w:r>
              <w:rPr>
                <w:rFonts w:ascii="Calibri" w:hAnsi="Calibri"/>
                <w:sz w:val="22"/>
              </w:rPr>
              <w:t>Jun 15, 2026</w:t>
            </w:r>
          </w:p>
        </w:tc>
        <w:tc>
          <w:tcPr>
            <w:tcW w:type="dxa" w:w="1440"/>
          </w:tcPr>
          <w:p>
            <w:r>
              <w:rPr>
                <w:rFonts w:ascii="Calibri" w:hAnsi="Calibri"/>
                <w:sz w:val="22"/>
              </w:rPr>
              <w:t>Pre-scheduled; retains 118,407 shares</w:t>
            </w:r>
          </w:p>
        </w:tc>
      </w:tr>
      <w:tr>
        <w:tc>
          <w:tcPr>
            <w:tcW w:type="dxa" w:w="1440"/>
          </w:tcPr>
          <w:p>
            <w:r>
              <w:rPr>
                <w:rFonts w:ascii="Calibri" w:hAnsi="Calibri"/>
                <w:sz w:val="22"/>
              </w:rPr>
              <w:t>Daniel P. Emerson</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8,840</w:t>
            </w:r>
          </w:p>
        </w:tc>
        <w:tc>
          <w:tcPr>
            <w:tcW w:type="dxa" w:w="1440"/>
          </w:tcPr>
          <w:p>
            <w:r>
              <w:rPr>
                <w:rFonts w:ascii="Calibri" w:hAnsi="Calibri"/>
                <w:sz w:val="22"/>
              </w:rPr>
              <w:t>Jun 8, 2026</w:t>
            </w:r>
          </w:p>
        </w:tc>
        <w:tc>
          <w:tcPr>
            <w:tcW w:type="dxa" w:w="1440"/>
          </w:tcPr>
          <w:p>
            <w:r>
              <w:rPr>
                <w:rFonts w:ascii="Calibri" w:hAnsi="Calibri"/>
                <w:sz w:val="22"/>
              </w:rPr>
              <w:t>Pre-scheduled; retains 122,828 shares</w:t>
            </w:r>
          </w:p>
        </w:tc>
      </w:tr>
      <w:tr>
        <w:tc>
          <w:tcPr>
            <w:tcW w:type="dxa" w:w="1440"/>
          </w:tcPr>
          <w:p>
            <w:r>
              <w:rPr>
                <w:rFonts w:ascii="Calibri" w:hAnsi="Calibri"/>
                <w:sz w:val="22"/>
              </w:rPr>
              <w:t>Michael Dornemann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1,151</w:t>
            </w:r>
          </w:p>
        </w:tc>
        <w:tc>
          <w:tcPr>
            <w:tcW w:type="dxa" w:w="1440"/>
          </w:tcPr>
          <w:p>
            <w:r>
              <w:rPr>
                <w:rFonts w:ascii="Calibri" w:hAnsi="Calibri"/>
                <w:sz w:val="22"/>
              </w:rPr>
              <w:t>Jun 4, 2026</w:t>
            </w:r>
          </w:p>
        </w:tc>
        <w:tc>
          <w:tcPr>
            <w:tcW w:type="dxa" w:w="1440"/>
          </w:tcPr>
          <w:p>
            <w:r>
              <w:rPr>
                <w:rFonts w:ascii="Calibri" w:hAnsi="Calibri"/>
                <w:sz w:val="22"/>
              </w:rPr>
              <w:t>Discretionary; retains 20,374 shares</w:t>
            </w:r>
          </w:p>
        </w:tc>
      </w:tr>
      <w:tr>
        <w:tc>
          <w:tcPr>
            <w:tcW w:type="dxa" w:w="1440"/>
          </w:tcPr>
          <w:p>
            <w:r>
              <w:rPr>
                <w:rFonts w:ascii="Calibri" w:hAnsi="Calibri"/>
                <w:sz w:val="22"/>
              </w:rPr>
              <w:t>LaVerne Evans Srinivasan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373</w:t>
            </w:r>
          </w:p>
        </w:tc>
        <w:tc>
          <w:tcPr>
            <w:tcW w:type="dxa" w:w="1440"/>
          </w:tcPr>
          <w:p>
            <w:r>
              <w:rPr>
                <w:rFonts w:ascii="Calibri" w:hAnsi="Calibri"/>
                <w:sz w:val="22"/>
              </w:rPr>
              <w:t>Jun 1, 2026</w:t>
            </w:r>
          </w:p>
        </w:tc>
        <w:tc>
          <w:tcPr>
            <w:tcW w:type="dxa" w:w="1440"/>
          </w:tcPr>
          <w:p>
            <w:r>
              <w:rPr>
                <w:rFonts w:ascii="Calibri" w:hAnsi="Calibri"/>
                <w:sz w:val="22"/>
              </w:rPr>
              <w:t>Discretionary; retains 8,719 shares</w:t>
            </w:r>
          </w:p>
        </w:tc>
      </w:tr>
      <w:tr>
        <w:tc>
          <w:tcPr>
            <w:tcW w:type="dxa" w:w="1440"/>
          </w:tcPr>
          <w:p>
            <w:r>
              <w:rPr>
                <w:rFonts w:ascii="Calibri" w:hAnsi="Calibri"/>
                <w:sz w:val="22"/>
              </w:rPr>
              <w:t>Michael Sheresky</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131</w:t>
            </w:r>
          </w:p>
        </w:tc>
        <w:tc>
          <w:tcPr>
            <w:tcW w:type="dxa" w:w="1440"/>
          </w:tcPr>
          <w:p>
            <w:r>
              <w:rPr>
                <w:rFonts w:ascii="Calibri" w:hAnsi="Calibri"/>
                <w:sz w:val="22"/>
              </w:rPr>
              <w:t>May 29, 2026</w:t>
            </w:r>
          </w:p>
        </w:tc>
        <w:tc>
          <w:tcPr>
            <w:tcW w:type="dxa" w:w="1440"/>
          </w:tcPr>
          <w:p>
            <w:r>
              <w:rPr>
                <w:rFonts w:ascii="Calibri" w:hAnsi="Calibri"/>
                <w:sz w:val="22"/>
              </w:rPr>
              <w:t>Pre-scheduled; retains 65,495 shares</w:t>
            </w:r>
          </w:p>
        </w:tc>
      </w:tr>
    </w:tbl>
    <w:p>
      <w:r>
        <w:rPr>
          <w:rFonts w:ascii="Calibri" w:hAnsi="Calibri"/>
          <w:color w:val="525866"/>
          <w:sz w:val="22"/>
        </w:rPr>
        <w:t>Source: SEC Form 4 Filings (Insider Transaction Data). All transactions are dispositions (sales). No open-market purchases were filed in the period.</w:t>
      </w:r>
    </w:p>
    <w:p>
      <w:r>
        <w:rPr>
          <w:rFonts w:ascii="Calibri" w:hAnsi="Calibri"/>
          <w:b/>
          <w:color w:val="525866"/>
          <w:sz w:val="22"/>
        </w:rPr>
        <w:t xml:space="preserve">Assessment: </w:t>
      </w:r>
      <w:r>
        <w:rPr>
          <w:rFonts w:ascii="Calibri" w:hAnsi="Calibri"/>
          <w:color w:val="525866"/>
          <w:sz w:val="22"/>
        </w:rPr>
        <w:t>The insider selling pattern is not alarming. The CLO (Emerson) accounts for the largest volume (~17,680 shares) but all three of his transactions are pre-scheduled 10b5-1 sales — obligation-driven and not a discretionary signal. The four director discretionary sales (Moses x2, Dornemann, Srinivasan) total only ~2,524 shares combined and represent a small fraction of their respective holdings. The absence of any open-market buying is notable but not unusual ahead of a major product launch when insiders are likely in possession of material non-public information. No 10b5-1 plan initiations were identified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