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uber-q2-2026-earnings-preview"/>
    <w:p>
      <w:pPr>
        <w:pStyle w:val="Heading1"/>
      </w:pPr>
      <w:r>
        <w:t xml:space="preserve">UBER Q2 2026 Earnings Preview</w:t>
      </w:r>
    </w:p>
    <w:p>
      <w:pPr>
        <w:pStyle w:val="FirstParagraph"/>
      </w:pPr>
      <w:r>
        <w:rPr>
          <w:b/>
          <w:bCs/>
        </w:rPr>
        <w:t xml:space="preserve">Report date:</w:t>
      </w:r>
      <w:r>
        <w:t xml:space="preserve"> </w:t>
      </w:r>
      <w:r>
        <w:t xml:space="preserve">Wednesday, August 5, 2026</w:t>
      </w:r>
      <w:r>
        <w:br/>
      </w:r>
      <w:r>
        <w:rPr>
          <w:b/>
          <w:bCs/>
        </w:rPr>
        <w:t xml:space="preserve">Conference call:</w:t>
      </w:r>
      <w:r>
        <w:t xml:space="preserve"> </w:t>
      </w:r>
      <w:r>
        <w:t xml:space="preserve">8:00 a.m. ET / 5:00 a.m. PT (</w:t>
      </w:r>
      <w:hyperlink r:id="rId9">
        <w:r>
          <w:rPr>
            <w:rStyle w:val="Hyperlink"/>
          </w:rPr>
          <w:t xml:space="preserve">investor.uber.com</w:t>
        </w:r>
      </w:hyperlink>
      <w:r>
        <w:t xml:space="preserve">)</w:t>
      </w:r>
      <w:r>
        <w:br/>
      </w:r>
      <w:r>
        <w:rPr>
          <w:b/>
          <w:bCs/>
        </w:rPr>
        <w:t xml:space="preserve">August 4 close:</w:t>
      </w:r>
      <w:r>
        <w:t xml:space="preserve"> </w:t>
      </w:r>
      <w:r>
        <w:t xml:space="preserve">$72.01</w:t>
      </w:r>
    </w:p>
    <w:bookmarkStart w:id="10" w:name="investment-view-going-into-the-print"/>
    <w:p>
      <w:pPr>
        <w:pStyle w:val="Heading2"/>
      </w:pPr>
      <w:r>
        <w:t xml:space="preserve">Investment view going into the print</w:t>
      </w:r>
    </w:p>
    <w:p>
      <w:pPr>
        <w:pStyle w:val="FirstParagraph"/>
      </w:pPr>
      <w:r>
        <w:t xml:space="preserve">Uber enters Q2 earnings with strong operating momentum but a more complicated investment narrative than it had three months ago.</w:t>
      </w:r>
    </w:p>
    <w:p>
      <w:pPr>
        <w:pStyle w:val="BodyText"/>
      </w:pPr>
      <w:r>
        <w:t xml:space="preserve">The core business is delivering roughly 20% constant-currency Gross Bookings growth, expanding profitability and substantial free cash flow. At the same time, investors must now assess:</w:t>
      </w:r>
    </w:p>
    <w:p>
      <w:pPr>
        <w:pStyle w:val="Compact"/>
        <w:numPr>
          <w:ilvl w:val="0"/>
          <w:numId w:val="1001"/>
        </w:numPr>
      </w:pPr>
      <w:r>
        <w:t xml:space="preserve">Whether U.S. Mobility is accelerating as management predicted.</w:t>
      </w:r>
    </w:p>
    <w:p>
      <w:pPr>
        <w:pStyle w:val="Compact"/>
        <w:numPr>
          <w:ilvl w:val="0"/>
          <w:numId w:val="1001"/>
        </w:numPr>
      </w:pPr>
      <w:r>
        <w:t xml:space="preserve">How much insurance savings Uber is reinvesting into lower prices.</w:t>
      </w:r>
    </w:p>
    <w:p>
      <w:pPr>
        <w:pStyle w:val="Compact"/>
        <w:numPr>
          <w:ilvl w:val="0"/>
          <w:numId w:val="1001"/>
        </w:numPr>
      </w:pPr>
      <w:r>
        <w:t xml:space="preserve">Whether Delivery can sustain profitable growth.</w:t>
      </w:r>
    </w:p>
    <w:p>
      <w:pPr>
        <w:pStyle w:val="Compact"/>
        <w:numPr>
          <w:ilvl w:val="0"/>
          <w:numId w:val="1001"/>
        </w:numPr>
      </w:pPr>
      <w:r>
        <w:t xml:space="preserve">The financing and integration implications of the proposed Delivery Hero acquisition.</w:t>
      </w:r>
    </w:p>
    <w:p>
      <w:pPr>
        <w:pStyle w:val="Compact"/>
        <w:numPr>
          <w:ilvl w:val="0"/>
          <w:numId w:val="1001"/>
        </w:numPr>
      </w:pPr>
      <w:r>
        <w:t xml:space="preserve">The strategic risk posed by Waymo and other autonomous-vehicle platforms.</w:t>
      </w:r>
    </w:p>
    <w:p>
      <w:pPr>
        <w:pStyle w:val="FirstParagraph"/>
      </w:pPr>
      <w:r>
        <w:t xml:space="preserve">The Q2 numbers matter, but</w:t>
      </w:r>
      <w:r>
        <w:t xml:space="preserve"> </w:t>
      </w:r>
      <w:r>
        <w:rPr>
          <w:b/>
          <w:bCs/>
        </w:rPr>
        <w:t xml:space="preserve">Q3 guidance and management’s commentary on Delivery Hero and AVs will probably drive the stock reaction</w:t>
      </w:r>
      <w:r>
        <w:t xml:space="preserve">.</w:t>
      </w:r>
    </w:p>
    <w:p>
      <w:r>
        <w:pict>
          <v:rect style="width:0;height:1.5pt" o:hralign="center" o:hrstd="t" o:hr="t"/>
        </w:pict>
      </w:r>
    </w:p>
    <w:bookmarkEnd w:id="10"/>
    <w:bookmarkStart w:id="12" w:name="expectations-and-company-guidance"/>
    <w:p>
      <w:pPr>
        <w:pStyle w:val="Heading2"/>
      </w:pPr>
      <w:r>
        <w:t xml:space="preserve">Expectations and company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company guidance / consensus</w:t>
            </w:r>
          </w:p>
        </w:tc>
        <w:tc>
          <w:tcPr/>
          <w:p>
            <w:pPr>
              <w:pStyle w:val="Compact"/>
            </w:pPr>
            <w:r>
              <w:t xml:space="preserve">What matters</w:t>
            </w:r>
          </w:p>
        </w:tc>
      </w:tr>
      <w:tr>
        <w:tc>
          <w:tcPr/>
          <w:p>
            <w:pPr>
              <w:pStyle w:val="Compact"/>
            </w:pPr>
            <w:r>
              <w:t xml:space="preserve">Gross Bookings</w:t>
            </w:r>
          </w:p>
        </w:tc>
        <w:tc>
          <w:tcPr/>
          <w:p>
            <w:pPr>
              <w:pStyle w:val="Compact"/>
              <w:jc w:val="right"/>
            </w:pPr>
            <m:oMath>
              <m:r>
                <m:t>56.25</m:t>
              </m:r>
              <m:r>
                <m:t>B</m:t>
              </m:r>
              <m:r>
                <m:rPr>
                  <m:sty m:val="p"/>
                </m:rPr>
                <m:t>–</m:t>
              </m:r>
            </m:oMath>
            <w:r>
              <w:rPr>
                <w:b/>
                <w:bCs/>
              </w:rPr>
              <w:t xml:space="preserve">57.75B</w:t>
            </w:r>
          </w:p>
        </w:tc>
        <w:tc>
          <w:tcPr/>
          <w:p>
            <w:pPr>
              <w:pStyle w:val="Compact"/>
            </w:pPr>
            <w:r>
              <w:t xml:space="preserve">Midpoint of $57.0B; 18%–22% constant-currency growth</w:t>
            </w:r>
          </w:p>
        </w:tc>
      </w:tr>
      <w:tr>
        <w:tc>
          <w:tcPr/>
          <w:p>
            <w:pPr>
              <w:pStyle w:val="Compact"/>
            </w:pPr>
            <w:r>
              <w:t xml:space="preserve">Reported Gross Bookings growth</w:t>
            </w:r>
          </w:p>
        </w:tc>
        <w:tc>
          <w:tcPr/>
          <w:p>
            <w:pPr>
              <w:pStyle w:val="Compact"/>
              <w:jc w:val="right"/>
            </w:pPr>
            <w:r>
              <w:t xml:space="preserve">Approximately two points above constant-currency growth</w:t>
            </w:r>
          </w:p>
        </w:tc>
        <w:tc>
          <w:tcPr/>
          <w:p>
            <w:pPr>
              <w:pStyle w:val="Compact"/>
            </w:pPr>
            <w:r>
              <w:t xml:space="preserve">FX should provide a tailwind</w:t>
            </w:r>
          </w:p>
        </w:tc>
      </w:tr>
      <w:tr>
        <w:tc>
          <w:tcPr/>
          <w:p>
            <w:pPr>
              <w:pStyle w:val="Compact"/>
            </w:pPr>
            <w:r>
              <w:t xml:space="preserve">Non-GAAP EPS</w:t>
            </w:r>
          </w:p>
        </w:tc>
        <w:tc>
          <w:tcPr/>
          <w:p>
            <w:pPr>
              <w:pStyle w:val="Compact"/>
              <w:jc w:val="right"/>
            </w:pPr>
            <m:oMath>
              <m:r>
                <m:t>0.78</m:t>
              </m:r>
              <m:r>
                <m:rPr>
                  <m:sty m:val="p"/>
                </m:rPr>
                <m:t>–</m:t>
              </m:r>
            </m:oMath>
            <w:r>
              <w:rPr>
                <w:b/>
                <w:bCs/>
              </w:rPr>
              <w:t xml:space="preserve">0.82</w:t>
            </w:r>
            <w:r>
              <w:t xml:space="preserve"> </w:t>
            </w:r>
            <w:r>
              <w:t xml:space="preserve">company guidance</w:t>
            </w:r>
          </w:p>
        </w:tc>
        <w:tc>
          <w:tcPr/>
          <w:p>
            <w:pPr>
              <w:pStyle w:val="Compact"/>
            </w:pPr>
            <w:r>
              <w:t xml:space="preserve">Street estimates have moved slightly above the range</w:t>
            </w:r>
          </w:p>
        </w:tc>
      </w:tr>
      <w:tr>
        <w:tc>
          <w:tcPr/>
          <w:p>
            <w:pPr>
              <w:pStyle w:val="Compact"/>
            </w:pPr>
            <w:r>
              <w:t xml:space="preserve">Adjusted EBITDA</w:t>
            </w:r>
          </w:p>
        </w:tc>
        <w:tc>
          <w:tcPr/>
          <w:p>
            <w:pPr>
              <w:pStyle w:val="Compact"/>
              <w:jc w:val="right"/>
            </w:pPr>
            <m:oMath>
              <m:r>
                <m:t>2.70</m:t>
              </m:r>
              <m:r>
                <m:t>B</m:t>
              </m:r>
              <m:r>
                <m:rPr>
                  <m:sty m:val="p"/>
                </m:rPr>
                <m:t>–</m:t>
              </m:r>
            </m:oMath>
            <w:r>
              <w:rPr>
                <w:b/>
                <w:bCs/>
              </w:rPr>
              <w:t xml:space="preserve">2.80B</w:t>
            </w:r>
            <w:r>
              <w:t xml:space="preserve"> </w:t>
            </w:r>
            <w:r>
              <w:t xml:space="preserve">implied guidance</w:t>
            </w:r>
          </w:p>
        </w:tc>
        <w:tc>
          <w:tcPr/>
          <w:p>
            <w:pPr>
              <w:pStyle w:val="Compact"/>
            </w:pPr>
            <w:r>
              <w:t xml:space="preserve">Midpoint margin of roughly 4.8% of Gross Bookings</w:t>
            </w:r>
          </w:p>
        </w:tc>
      </w:tr>
      <w:tr>
        <w:tc>
          <w:tcPr/>
          <w:p>
            <w:pPr>
              <w:pStyle w:val="Compact"/>
            </w:pPr>
            <w:r>
              <w:t xml:space="preserve">Revenue consensus</w:t>
            </w:r>
          </w:p>
        </w:tc>
        <w:tc>
          <w:tcPr/>
          <w:p>
            <w:pPr>
              <w:pStyle w:val="Compact"/>
              <w:jc w:val="right"/>
            </w:pPr>
            <w:r>
              <w:t xml:space="preserve">Approximately</w:t>
            </w:r>
            <w:r>
              <w:t xml:space="preserve"> </w:t>
            </w:r>
            <m:oMath>
              <m:r>
                <m:t>14.23</m:t>
              </m:r>
              <m:r>
                <m:t>B</m:t>
              </m:r>
              <m:r>
                <m:rPr>
                  <m:sty m:val="p"/>
                </m:rPr>
                <m:t>–</m:t>
              </m:r>
            </m:oMath>
            <w:r>
              <w:rPr>
                <w:b/>
                <w:bCs/>
              </w:rPr>
              <w:t xml:space="preserve">14.24B</w:t>
            </w:r>
          </w:p>
        </w:tc>
        <w:tc>
          <w:tcPr/>
          <w:p>
            <w:pPr>
              <w:pStyle w:val="Compact"/>
            </w:pPr>
            <w:r>
              <w:t xml:space="preserve">Less useful because business-model changes affect reported revenue</w:t>
            </w:r>
          </w:p>
        </w:tc>
      </w:tr>
      <w:tr>
        <w:tc>
          <w:tcPr/>
          <w:p>
            <w:pPr>
              <w:pStyle w:val="Compact"/>
            </w:pPr>
            <w:r>
              <w:t xml:space="preserve">Non-GAAP EPS consensus</w:t>
            </w:r>
          </w:p>
        </w:tc>
        <w:tc>
          <w:tcPr/>
          <w:p>
            <w:pPr>
              <w:pStyle w:val="Compact"/>
              <w:jc w:val="right"/>
            </w:pPr>
            <w:r>
              <w:t xml:space="preserve">Approximately</w:t>
            </w:r>
            <w:r>
              <w:t xml:space="preserve"> </w:t>
            </w:r>
            <w:r>
              <w:rPr>
                <w:b/>
                <w:bCs/>
              </w:rPr>
              <w:t xml:space="preserve">$0.83</w:t>
            </w:r>
          </w:p>
        </w:tc>
        <w:tc>
          <w:tcPr/>
          <w:p>
            <w:pPr>
              <w:pStyle w:val="Compact"/>
            </w:pPr>
            <w:r>
              <w:t xml:space="preserve">A merely in-range EPS result could be viewed as soft</w:t>
            </w:r>
          </w:p>
        </w:tc>
      </w:tr>
    </w:tbl>
    <w:p>
      <w:pPr>
        <w:pStyle w:val="BodyText"/>
      </w:pPr>
      <w:r>
        <w:t xml:space="preserve">Uber’s Q2 outlook was above the approximately $56.1 billion Gross Bookings consensus when issued. Current third-party estimates point to roughly $14.24 billion of revenue and $0.83 of EPS. (</w:t>
      </w:r>
      <w:hyperlink r:id="rId11">
        <w:r>
          <w:rPr>
            <w:rStyle w:val="Hyperlink"/>
          </w:rPr>
          <w:t xml:space="preserve">benzinga.com</w:t>
        </w:r>
      </w:hyperlink>
      <w:r>
        <w:t xml:space="preserve">)</w:t>
      </w:r>
    </w:p>
    <w:p>
      <w:pPr>
        <w:pStyle w:val="BodyText"/>
      </w:pPr>
      <w:r>
        <w:t xml:space="preserve">The cleanest benchmark is therefore not revenue. Investors should prioritize</w:t>
      </w:r>
      <w:r>
        <w:t xml:space="preserve"> </w:t>
      </w:r>
      <w:r>
        <w:rPr>
          <w:b/>
          <w:bCs/>
        </w:rPr>
        <w:t xml:space="preserve">Gross Bookings, trip growth, Non-GAAP Operating Income, free cash flow and forward guidance</w:t>
      </w:r>
      <w:r>
        <w:t xml:space="preserve">.</w:t>
      </w:r>
    </w:p>
    <w:p>
      <w:r>
        <w:pict>
          <v:rect style="width:0;height:1.5pt" o:hralign="center" o:hrstd="t" o:hr="t"/>
        </w:pict>
      </w:r>
    </w:p>
    <w:bookmarkEnd w:id="12"/>
    <w:bookmarkStart w:id="14" w:name="the-q1-baseline"/>
    <w:p>
      <w:pPr>
        <w:pStyle w:val="Heading2"/>
      </w:pPr>
      <w:r>
        <w:t xml:space="preserve">The Q1 baseline</w:t>
      </w:r>
    </w:p>
    <w:p>
      <w:pPr>
        <w:pStyle w:val="FirstParagraph"/>
      </w:pPr>
      <w:r>
        <w:t xml:space="preserve">Uber’s first quarter established a demanding comparison:</w:t>
      </w:r>
    </w:p>
    <w:p>
      <w:pPr>
        <w:pStyle w:val="Compact"/>
        <w:numPr>
          <w:ilvl w:val="0"/>
          <w:numId w:val="1002"/>
        </w:numPr>
      </w:pPr>
      <w:r>
        <w:t xml:space="preserve">Gross Bookings:</w:t>
      </w:r>
      <w:r>
        <w:t xml:space="preserve"> </w:t>
      </w:r>
      <w:r>
        <w:rPr>
          <w:b/>
          <w:bCs/>
        </w:rPr>
        <w:t xml:space="preserve">$53.72B</w:t>
      </w:r>
      <w:r>
        <w:t xml:space="preserve">, up 25% reported and 21% constant currency.</w:t>
      </w:r>
    </w:p>
    <w:p>
      <w:pPr>
        <w:pStyle w:val="Compact"/>
        <w:numPr>
          <w:ilvl w:val="0"/>
          <w:numId w:val="1002"/>
        </w:numPr>
      </w:pPr>
      <w:r>
        <w:t xml:space="preserve">Trips:</w:t>
      </w:r>
      <w:r>
        <w:t xml:space="preserve"> </w:t>
      </w:r>
      <w:r>
        <w:rPr>
          <w:b/>
          <w:bCs/>
        </w:rPr>
        <w:t xml:space="preserve">3.64B</w:t>
      </w:r>
      <w:r>
        <w:t xml:space="preserve">, up 20%.</w:t>
      </w:r>
    </w:p>
    <w:p>
      <w:pPr>
        <w:pStyle w:val="Compact"/>
        <w:numPr>
          <w:ilvl w:val="0"/>
          <w:numId w:val="1002"/>
        </w:numPr>
      </w:pPr>
      <w:r>
        <w:t xml:space="preserve">Monthly Active Platform Consumers:</w:t>
      </w:r>
      <w:r>
        <w:t xml:space="preserve"> </w:t>
      </w:r>
      <w:r>
        <w:rPr>
          <w:b/>
          <w:bCs/>
        </w:rPr>
        <w:t xml:space="preserve">199M</w:t>
      </w:r>
      <w:r>
        <w:t xml:space="preserve">, up 17%.</w:t>
      </w:r>
    </w:p>
    <w:p>
      <w:pPr>
        <w:pStyle w:val="Compact"/>
        <w:numPr>
          <w:ilvl w:val="0"/>
          <w:numId w:val="1002"/>
        </w:numPr>
      </w:pPr>
      <w:r>
        <w:t xml:space="preserve">Revenue:</w:t>
      </w:r>
      <w:r>
        <w:t xml:space="preserve"> </w:t>
      </w:r>
      <w:r>
        <w:rPr>
          <w:b/>
          <w:bCs/>
        </w:rPr>
        <w:t xml:space="preserve">$13.20B</w:t>
      </w:r>
      <w:r>
        <w:t xml:space="preserve">, up 14%.</w:t>
      </w:r>
    </w:p>
    <w:p>
      <w:pPr>
        <w:pStyle w:val="Compact"/>
        <w:numPr>
          <w:ilvl w:val="0"/>
          <w:numId w:val="1002"/>
        </w:numPr>
      </w:pPr>
      <w:r>
        <w:t xml:space="preserve">Non-GAAP Operating Income:</w:t>
      </w:r>
      <w:r>
        <w:t xml:space="preserve"> </w:t>
      </w:r>
      <w:r>
        <w:rPr>
          <w:b/>
          <w:bCs/>
        </w:rPr>
        <w:t xml:space="preserve">$1.88B</w:t>
      </w:r>
      <w:r>
        <w:t xml:space="preserve">, up 42%.</w:t>
      </w:r>
    </w:p>
    <w:p>
      <w:pPr>
        <w:pStyle w:val="Compact"/>
        <w:numPr>
          <w:ilvl w:val="0"/>
          <w:numId w:val="1002"/>
        </w:numPr>
      </w:pPr>
      <w:r>
        <w:t xml:space="preserve">Adjusted EBITDA:</w:t>
      </w:r>
      <w:r>
        <w:t xml:space="preserve"> </w:t>
      </w:r>
      <w:r>
        <w:rPr>
          <w:b/>
          <w:bCs/>
        </w:rPr>
        <w:t xml:space="preserve">$2.48B</w:t>
      </w:r>
      <w:r>
        <w:t xml:space="preserve">, up 33%.</w:t>
      </w:r>
    </w:p>
    <w:p>
      <w:pPr>
        <w:pStyle w:val="Compact"/>
        <w:numPr>
          <w:ilvl w:val="0"/>
          <w:numId w:val="1002"/>
        </w:numPr>
      </w:pPr>
      <w:r>
        <w:t xml:space="preserve">Free cash flow:</w:t>
      </w:r>
      <w:r>
        <w:t xml:space="preserve"> </w:t>
      </w:r>
      <w:r>
        <w:rPr>
          <w:b/>
          <w:bCs/>
        </w:rPr>
        <w:t xml:space="preserve">$2.29B</w:t>
      </w:r>
      <w:r>
        <w:t xml:space="preserve">.</w:t>
      </w:r>
    </w:p>
    <w:p>
      <w:pPr>
        <w:pStyle w:val="Compact"/>
        <w:numPr>
          <w:ilvl w:val="0"/>
          <w:numId w:val="1002"/>
        </w:numPr>
      </w:pPr>
      <w:r>
        <w:t xml:space="preserve">Uber One membership: more than</w:t>
      </w:r>
      <w:r>
        <w:t xml:space="preserve"> </w:t>
      </w:r>
      <w:r>
        <w:rPr>
          <w:b/>
          <w:bCs/>
        </w:rPr>
        <w:t xml:space="preserve">50M</w:t>
      </w:r>
      <w:r>
        <w:t xml:space="preserve">, with members accounting for half of Mobility and Delivery Gross Bookings.</w:t>
      </w:r>
    </w:p>
    <w:p>
      <w:pPr>
        <w:pStyle w:val="FirstParagraph"/>
      </w:pPr>
      <w:r>
        <w:t xml:space="preserve">Mobility Gross Bookings grew 20% constant currency, while Delivery grew 23%. Delivery segment operating income rose 43%, faster than Mobility’s 28% increase. (</w:t>
      </w:r>
      <w:hyperlink r:id="rId13">
        <w:r>
          <w:rPr>
            <w:rStyle w:val="Hyperlink"/>
          </w:rPr>
          <w:t xml:space="preserve">investor.uber.com</w:t>
        </w:r>
      </w:hyperlink>
      <w:r>
        <w:t xml:space="preserve">)</w:t>
      </w:r>
    </w:p>
    <w:p>
      <w:pPr>
        <w:pStyle w:val="BodyText"/>
      </w:pPr>
      <w:r>
        <w:t xml:space="preserve">The key question is whether Uber can maintain this combination of</w:t>
      </w:r>
      <w:r>
        <w:t xml:space="preserve"> </w:t>
      </w:r>
      <w:r>
        <w:rPr>
          <w:b/>
          <w:bCs/>
        </w:rPr>
        <w:t xml:space="preserve">high-teens-to-low-20s demand growth and earnings growth materially faster than bookings</w:t>
      </w:r>
      <w:r>
        <w:t xml:space="preserve">.</w:t>
      </w:r>
    </w:p>
    <w:p>
      <w:r>
        <w:pict>
          <v:rect style="width:0;height:1.5pt" o:hralign="center" o:hrstd="t" o:hr="t"/>
        </w:pict>
      </w:r>
    </w:p>
    <w:bookmarkEnd w:id="14"/>
    <w:bookmarkStart w:id="23" w:name="five-things-investors-should-watch"/>
    <w:p>
      <w:pPr>
        <w:pStyle w:val="Heading2"/>
      </w:pPr>
      <w:r>
        <w:t xml:space="preserve">Five things investors should watch</w:t>
      </w:r>
    </w:p>
    <w:bookmarkStart w:id="15" w:name="X6f154e156acbe35b537c6d46f93380d62856c2f"/>
    <w:p>
      <w:pPr>
        <w:pStyle w:val="Heading3"/>
      </w:pPr>
      <w:r>
        <w:t xml:space="preserve">1. Q3 guidance is the main event</w:t>
      </w:r>
    </w:p>
    <w:p>
      <w:pPr>
        <w:pStyle w:val="FirstParagraph"/>
      </w:pPr>
      <w:r>
        <w:t xml:space="preserve">Uber already gave a strong Q2 outlook, and consensus EPS now appears slightly above management’s range. That raises the bar for the actual quarter.</w:t>
      </w:r>
    </w:p>
    <w:p>
      <w:pPr>
        <w:pStyle w:val="BodyText"/>
      </w:pPr>
      <w:r>
        <w:t xml:space="preserve">A constructive report would likely require:</w:t>
      </w:r>
    </w:p>
    <w:p>
      <w:pPr>
        <w:pStyle w:val="Compact"/>
        <w:numPr>
          <w:ilvl w:val="0"/>
          <w:numId w:val="1003"/>
        </w:numPr>
      </w:pPr>
      <w:r>
        <w:t xml:space="preserve">Gross Bookings near or above the top half of guidance.</w:t>
      </w:r>
    </w:p>
    <w:p>
      <w:pPr>
        <w:pStyle w:val="Compact"/>
        <w:numPr>
          <w:ilvl w:val="0"/>
          <w:numId w:val="1003"/>
        </w:numPr>
      </w:pPr>
      <w:r>
        <w:t xml:space="preserve">Continued trip growth near 20%.</w:t>
      </w:r>
    </w:p>
    <w:p>
      <w:pPr>
        <w:pStyle w:val="Compact"/>
        <w:numPr>
          <w:ilvl w:val="0"/>
          <w:numId w:val="1003"/>
        </w:numPr>
      </w:pPr>
      <w:r>
        <w:t xml:space="preserve">Q3 constant-currency Gross Bookings growth remaining in the high teens or better.</w:t>
      </w:r>
    </w:p>
    <w:p>
      <w:pPr>
        <w:pStyle w:val="Compact"/>
        <w:numPr>
          <w:ilvl w:val="0"/>
          <w:numId w:val="1003"/>
        </w:numPr>
      </w:pPr>
      <w:r>
        <w:t xml:space="preserve">Further expansion in Non-GAAP Operating Income or EBITDA margin.</w:t>
      </w:r>
    </w:p>
    <w:p>
      <w:pPr>
        <w:pStyle w:val="Compact"/>
        <w:numPr>
          <w:ilvl w:val="0"/>
          <w:numId w:val="1003"/>
        </w:numPr>
      </w:pPr>
      <w:r>
        <w:t xml:space="preserve">EPS guidance showing that operating leverage remains intact despite investments in AVs, AI and new products.</w:t>
      </w:r>
    </w:p>
    <w:p>
      <w:pPr>
        <w:pStyle w:val="FirstParagraph"/>
      </w:pPr>
      <w:r>
        <w:t xml:space="preserve">A small Q2 beat paired with conservative Q3 guidance may not be enough. Conversely, a solid Q3 outlook could outweigh modest noise in reported revenue or GAAP EPS.</w:t>
      </w:r>
    </w:p>
    <w:bookmarkEnd w:id="15"/>
    <w:bookmarkStart w:id="16" w:name="Xd1ebf30198ab7a7d2f837ab6738dc762b15bf89"/>
    <w:p>
      <w:pPr>
        <w:pStyle w:val="Heading3"/>
      </w:pPr>
      <w:r>
        <w:t xml:space="preserve">2. U.S. Mobility acceleration and insurance economics</w:t>
      </w:r>
    </w:p>
    <w:p>
      <w:pPr>
        <w:pStyle w:val="FirstParagraph"/>
      </w:pPr>
      <w:r>
        <w:t xml:space="preserve">Management’s most important near-term claim is that lower insurance costs will support faster U.S. Mobility growth.</w:t>
      </w:r>
    </w:p>
    <w:p>
      <w:pPr>
        <w:pStyle w:val="BodyText"/>
      </w:pPr>
      <w:r>
        <w:t xml:space="preserve">In Q1, Uber said it expected hundreds of millions of dollars of insurance savings during 2026. Its strategy is not necessarily to retain all of those savings: lower insurance costs can be passed through as lower rider prices, stimulating demand and trip frequency.</w:t>
      </w:r>
    </w:p>
    <w:p>
      <w:pPr>
        <w:pStyle w:val="BodyText"/>
      </w:pPr>
      <w:r>
        <w:t xml:space="preserve">Investors should listen for:</w:t>
      </w:r>
    </w:p>
    <w:p>
      <w:pPr>
        <w:pStyle w:val="Compact"/>
        <w:numPr>
          <w:ilvl w:val="0"/>
          <w:numId w:val="1004"/>
        </w:numPr>
      </w:pPr>
      <w:r>
        <w:t xml:space="preserve">Whether U.S. Mobility trip growth accelerated during Q2.</w:t>
      </w:r>
    </w:p>
    <w:p>
      <w:pPr>
        <w:pStyle w:val="Compact"/>
        <w:numPr>
          <w:ilvl w:val="0"/>
          <w:numId w:val="1004"/>
        </w:numPr>
      </w:pPr>
      <w:r>
        <w:t xml:space="preserve">Evidence that lower prices are producing favorable demand elasticity.</w:t>
      </w:r>
    </w:p>
    <w:p>
      <w:pPr>
        <w:pStyle w:val="Compact"/>
        <w:numPr>
          <w:ilvl w:val="0"/>
          <w:numId w:val="1004"/>
        </w:numPr>
      </w:pPr>
      <w:r>
        <w:t xml:space="preserve">Performance in Los Angeles and San Francisco, where insurance savings and AV adoption have been particularly relevant.</w:t>
      </w:r>
    </w:p>
    <w:p>
      <w:pPr>
        <w:pStyle w:val="Compact"/>
        <w:numPr>
          <w:ilvl w:val="0"/>
          <w:numId w:val="1004"/>
        </w:numPr>
      </w:pPr>
      <w:r>
        <w:t xml:space="preserve">How much of the savings is retained as margin versus reinvested.</w:t>
      </w:r>
    </w:p>
    <w:p>
      <w:pPr>
        <w:pStyle w:val="Compact"/>
        <w:numPr>
          <w:ilvl w:val="0"/>
          <w:numId w:val="1004"/>
        </w:numPr>
      </w:pPr>
      <w:r>
        <w:t xml:space="preserve">Updated expectations for full-year insurance leverage.</w:t>
      </w:r>
    </w:p>
    <w:p>
      <w:pPr>
        <w:pStyle w:val="FirstParagraph"/>
      </w:pPr>
      <w:r>
        <w:t xml:space="preserve">The ideal outcome is</w:t>
      </w:r>
      <w:r>
        <w:t xml:space="preserve"> </w:t>
      </w:r>
      <w:r>
        <w:rPr>
          <w:b/>
          <w:bCs/>
        </w:rPr>
        <w:t xml:space="preserve">faster trips without sacrificing Mobility profit growth</w:t>
      </w:r>
      <w:r>
        <w:t xml:space="preserve">. If trip growth improves but Mobility margins flatten, the market may conclude that Uber is buying growth through pricing.</w:t>
      </w:r>
    </w:p>
    <w:bookmarkEnd w:id="16"/>
    <w:bookmarkStart w:id="18" w:name="Xdf3e0b094448cc30d596d7242a26f2437023c70"/>
    <w:p>
      <w:pPr>
        <w:pStyle w:val="Heading3"/>
      </w:pPr>
      <w:r>
        <w:t xml:space="preserve">3. Delivery growth, advertising and the Delivery Hero deal</w:t>
      </w:r>
    </w:p>
    <w:p>
      <w:pPr>
        <w:pStyle w:val="FirstParagraph"/>
      </w:pPr>
      <w:r>
        <w:t xml:space="preserve">Standalone Delivery entered Q2 in a strong position: Q1 Gross Bookings grew 23% constant currency, segment operating income increased 43%, and advertising revenue rose by $180 million year over year.</w:t>
      </w:r>
    </w:p>
    <w:p>
      <w:pPr>
        <w:pStyle w:val="BodyText"/>
      </w:pPr>
      <w:r>
        <w:t xml:space="preserve">Investors should separate the current business from the proposed Delivery Hero acquisition, which is not expected to close until the second half of 2027.</w:t>
      </w:r>
    </w:p>
    <w:p>
      <w:pPr>
        <w:pStyle w:val="BodyText"/>
      </w:pPr>
      <w:r>
        <w:t xml:space="preserve">Uber’s offer values Delivery Hero at $14.8 billion, or $13.7 billion after accounting for prior stake purchases. Uber expects the transaction to be accretive to Non-GAAP EPS upon closing and high-single-digit percentage accretive by year three. The deal would add 50 markets with $42 billion of 2025 Gross Bookings; a separate buyer would acquire 14 overlapping markets. (</w:t>
      </w:r>
      <w:hyperlink r:id="rId17">
        <w:r>
          <w:rPr>
            <w:rStyle w:val="Hyperlink"/>
          </w:rPr>
          <w:t xml:space="preserve">investor.uber.com</w:t>
        </w:r>
      </w:hyperlink>
      <w:r>
        <w:t xml:space="preserve">)</w:t>
      </w:r>
    </w:p>
    <w:p>
      <w:pPr>
        <w:pStyle w:val="BodyText"/>
      </w:pPr>
      <w:r>
        <w:t xml:space="preserve">Questions for management include:</w:t>
      </w:r>
    </w:p>
    <w:p>
      <w:pPr>
        <w:pStyle w:val="Compact"/>
        <w:numPr>
          <w:ilvl w:val="0"/>
          <w:numId w:val="1005"/>
        </w:numPr>
      </w:pPr>
      <w:r>
        <w:t xml:space="preserve">Is Uber still confident in achieving more than $1.2 billion of annualized synergies within 18 months of closing?</w:t>
      </w:r>
    </w:p>
    <w:p>
      <w:pPr>
        <w:pStyle w:val="Compact"/>
        <w:numPr>
          <w:ilvl w:val="0"/>
          <w:numId w:val="1005"/>
        </w:numPr>
      </w:pPr>
      <w:r>
        <w:t xml:space="preserve">How much of the synergy case depends on cost reductions versus cross-selling?</w:t>
      </w:r>
    </w:p>
    <w:p>
      <w:pPr>
        <w:pStyle w:val="Compact"/>
        <w:numPr>
          <w:ilvl w:val="0"/>
          <w:numId w:val="1005"/>
        </w:numPr>
      </w:pPr>
      <w:r>
        <w:t xml:space="preserve">Will regulatory remedies extend beyond the already planned divestitures?</w:t>
      </w:r>
    </w:p>
    <w:p>
      <w:pPr>
        <w:pStyle w:val="Compact"/>
        <w:numPr>
          <w:ilvl w:val="0"/>
          <w:numId w:val="1005"/>
        </w:numPr>
      </w:pPr>
      <w:r>
        <w:t xml:space="preserve">How will the acquisition affect the pace of share repurchases?</w:t>
      </w:r>
    </w:p>
    <w:p>
      <w:pPr>
        <w:pStyle w:val="Compact"/>
        <w:numPr>
          <w:ilvl w:val="0"/>
          <w:numId w:val="1005"/>
        </w:numPr>
      </w:pPr>
      <w:r>
        <w:t xml:space="preserve">What interest expense should investors assume after the bridge financing is refinanced?</w:t>
      </w:r>
    </w:p>
    <w:p>
      <w:pPr>
        <w:pStyle w:val="Compact"/>
        <w:numPr>
          <w:ilvl w:val="0"/>
          <w:numId w:val="1005"/>
        </w:numPr>
      </w:pPr>
      <w:r>
        <w:t xml:space="preserve">How will management preserve the local strength of brands such as Talabat, Glovo and PedidosYa?</w:t>
      </w:r>
    </w:p>
    <w:p>
      <w:pPr>
        <w:pStyle w:val="FirstParagraph"/>
      </w:pPr>
      <w:r>
        <w:t xml:space="preserve">Uber says gross leverage will remain below 2x and that its buyback framework is unchanged. Nevertheless, this is a large cash-and-debt transaction relative to the company’s current liquidity, making capital allocation a central earnings topic. (</w:t>
      </w:r>
      <w:hyperlink r:id="rId17">
        <w:r>
          <w:rPr>
            <w:rStyle w:val="Hyperlink"/>
          </w:rPr>
          <w:t xml:space="preserve">investor.uber.com</w:t>
        </w:r>
      </w:hyperlink>
      <w:r>
        <w:t xml:space="preserve">)</w:t>
      </w:r>
    </w:p>
    <w:bookmarkEnd w:id="18"/>
    <w:bookmarkStart w:id="20" w:name="X3f90eea61acb334298dc2b09d60234af951f036"/>
    <w:p>
      <w:pPr>
        <w:pStyle w:val="Heading3"/>
      </w:pPr>
      <w:r>
        <w:t xml:space="preserve">4. AV partnerships after the Waymo developments</w:t>
      </w:r>
    </w:p>
    <w:p>
      <w:pPr>
        <w:pStyle w:val="FirstParagraph"/>
      </w:pPr>
      <w:r>
        <w:t xml:space="preserve">Autonomous vehicles remain the biggest debate around Uber’s long-term terminal value.</w:t>
      </w:r>
    </w:p>
    <w:p>
      <w:pPr>
        <w:pStyle w:val="BodyText"/>
      </w:pPr>
      <w:r>
        <w:t xml:space="preserve">The bull case is that Uber becomes the demand aggregation, fleet-management and commercialization layer for many AV developers. In Q1, management said Uber had more than 30 autonomous partners, AV Mobility trips had increased more than tenfold year over year, and the company expected deployments in as many as 15 cities by year-end.</w:t>
      </w:r>
    </w:p>
    <w:p>
      <w:pPr>
        <w:pStyle w:val="BodyText"/>
      </w:pPr>
      <w:r>
        <w:t xml:space="preserve">The bear case is that the strongest AV providers eventually take consumers direct, reducing Uber to a lower-value distribution channel—or bypassing it entirely.</w:t>
      </w:r>
    </w:p>
    <w:p>
      <w:pPr>
        <w:pStyle w:val="BodyText"/>
      </w:pPr>
      <w:r>
        <w:t xml:space="preserve">That debate intensified after Waymo notified Uber that it plans to launch its own app in Austin and Atlanta in January 2028, ending exclusivity while initially continuing to make vehicles available through Uber. (</w:t>
      </w:r>
      <w:hyperlink r:id="rId19">
        <w:r>
          <w:rPr>
            <w:rStyle w:val="Hyperlink"/>
          </w:rPr>
          <w:t xml:space="preserve">news.bloomberglaw.com</w:t>
        </w:r>
      </w:hyperlink>
      <w:r>
        <w:t xml:space="preserve">)</w:t>
      </w:r>
    </w:p>
    <w:p>
      <w:pPr>
        <w:pStyle w:val="BodyText"/>
      </w:pPr>
      <w:r>
        <w:t xml:space="preserve">Investors should look for:</w:t>
      </w:r>
    </w:p>
    <w:p>
      <w:pPr>
        <w:pStyle w:val="Compact"/>
        <w:numPr>
          <w:ilvl w:val="0"/>
          <w:numId w:val="1006"/>
        </w:numPr>
      </w:pPr>
      <w:r>
        <w:t xml:space="preserve">Confirmation of the 15-city 2026 deployment target.</w:t>
      </w:r>
    </w:p>
    <w:p>
      <w:pPr>
        <w:pStyle w:val="Compact"/>
        <w:numPr>
          <w:ilvl w:val="0"/>
          <w:numId w:val="1006"/>
        </w:numPr>
      </w:pPr>
      <w:r>
        <w:t xml:space="preserve">Current AV trip growth, utilization and consumer adoption.</w:t>
      </w:r>
    </w:p>
    <w:p>
      <w:pPr>
        <w:pStyle w:val="Compact"/>
        <w:numPr>
          <w:ilvl w:val="0"/>
          <w:numId w:val="1006"/>
        </w:numPr>
      </w:pPr>
      <w:r>
        <w:t xml:space="preserve">The economics Uber retains on autonomous trips.</w:t>
      </w:r>
    </w:p>
    <w:p>
      <w:pPr>
        <w:pStyle w:val="Compact"/>
        <w:numPr>
          <w:ilvl w:val="0"/>
          <w:numId w:val="1006"/>
        </w:numPr>
      </w:pPr>
      <w:r>
        <w:t xml:space="preserve">Whether other AV partners can replace potential Waymo supply.</w:t>
      </w:r>
    </w:p>
    <w:p>
      <w:pPr>
        <w:pStyle w:val="Compact"/>
        <w:numPr>
          <w:ilvl w:val="0"/>
          <w:numId w:val="1006"/>
        </w:numPr>
      </w:pPr>
      <w:r>
        <w:t xml:space="preserve">Uber’s exposure to vehicle purchases, depots, charging, financing and insurance.</w:t>
      </w:r>
    </w:p>
    <w:p>
      <w:pPr>
        <w:pStyle w:val="Compact"/>
        <w:numPr>
          <w:ilvl w:val="0"/>
          <w:numId w:val="1006"/>
        </w:numPr>
      </w:pPr>
      <w:r>
        <w:t xml:space="preserve">Evidence that AV adoption expands the overall rideshare category rather than simply taking share from human-driven Uber trips.</w:t>
      </w:r>
    </w:p>
    <w:p>
      <w:pPr>
        <w:pStyle w:val="FirstParagraph"/>
      </w:pPr>
      <w:r>
        <w:t xml:space="preserve">Near-term AV revenue is less important than whether management can demonstrate that Uber remains strategically necessary as autonomous supply expands.</w:t>
      </w:r>
    </w:p>
    <w:bookmarkEnd w:id="20"/>
    <w:bookmarkStart w:id="22" w:name="Xa55e8b8e0d52d3d9d1265eeb6324f90a4d26f8c"/>
    <w:p>
      <w:pPr>
        <w:pStyle w:val="Heading3"/>
      </w:pPr>
      <w:r>
        <w:t xml:space="preserve">5. AI productivity versus higher investment</w:t>
      </w:r>
    </w:p>
    <w:p>
      <w:pPr>
        <w:pStyle w:val="FirstParagraph"/>
      </w:pPr>
      <w:r>
        <w:t xml:space="preserve">Uber said in Q1 that it had underestimated demand for AI tools and raised its AI investment budget, offsetting some of the spending with slower headcount growth. It subsequently cut 10% of customer-service roles as part of an effort to simplify operations and embrace AI. (</w:t>
      </w:r>
      <w:hyperlink r:id="rId21">
        <w:r>
          <w:rPr>
            <w:rStyle w:val="Hyperlink"/>
          </w:rPr>
          <w:t xml:space="preserve">news.bloomberglaw.com</w:t>
        </w:r>
      </w:hyperlink>
      <w:r>
        <w:t xml:space="preserve">)</w:t>
      </w:r>
    </w:p>
    <w:p>
      <w:pPr>
        <w:pStyle w:val="BodyText"/>
      </w:pPr>
      <w:r>
        <w:t xml:space="preserve">Investors should assess whether AI is beginning to generate measurable savings in:</w:t>
      </w:r>
    </w:p>
    <w:p>
      <w:pPr>
        <w:pStyle w:val="Compact"/>
        <w:numPr>
          <w:ilvl w:val="0"/>
          <w:numId w:val="1007"/>
        </w:numPr>
      </w:pPr>
      <w:r>
        <w:t xml:space="preserve">Customer support.</w:t>
      </w:r>
    </w:p>
    <w:p>
      <w:pPr>
        <w:pStyle w:val="Compact"/>
        <w:numPr>
          <w:ilvl w:val="0"/>
          <w:numId w:val="1007"/>
        </w:numPr>
      </w:pPr>
      <w:r>
        <w:t xml:space="preserve">Engineering productivity.</w:t>
      </w:r>
    </w:p>
    <w:p>
      <w:pPr>
        <w:pStyle w:val="Compact"/>
        <w:numPr>
          <w:ilvl w:val="0"/>
          <w:numId w:val="1007"/>
        </w:numPr>
      </w:pPr>
      <w:r>
        <w:t xml:space="preserve">Fraud and payment-loss prevention.</w:t>
      </w:r>
    </w:p>
    <w:p>
      <w:pPr>
        <w:pStyle w:val="Compact"/>
        <w:numPr>
          <w:ilvl w:val="0"/>
          <w:numId w:val="1007"/>
        </w:numPr>
      </w:pPr>
      <w:r>
        <w:t xml:space="preserve">Marketplace pricing and matching.</w:t>
      </w:r>
    </w:p>
    <w:p>
      <w:pPr>
        <w:pStyle w:val="Compact"/>
        <w:numPr>
          <w:ilvl w:val="0"/>
          <w:numId w:val="1007"/>
        </w:numPr>
      </w:pPr>
      <w:r>
        <w:t xml:space="preserve">Personalized recommendations and cross-platform conversion.</w:t>
      </w:r>
    </w:p>
    <w:p>
      <w:pPr>
        <w:pStyle w:val="FirstParagraph"/>
      </w:pPr>
      <w:r>
        <w:t xml:space="preserve">The favorable interpretation is that AI helps Uber sustain strong growth with slower headcount expansion. The risk is that spending rises before productivity benefits become visible, or that automated support damages customer and driver satisfaction.</w:t>
      </w:r>
    </w:p>
    <w:p>
      <w:r>
        <w:pict>
          <v:rect style="width:0;height:1.5pt" o:hralign="center" o:hrstd="t" o:hr="t"/>
        </w:pict>
      </w:r>
    </w:p>
    <w:bookmarkEnd w:id="22"/>
    <w:bookmarkEnd w:id="23"/>
    <w:bookmarkStart w:id="24" w:name="capital-allocation-and-cash-flow"/>
    <w:p>
      <w:pPr>
        <w:pStyle w:val="Heading2"/>
      </w:pPr>
      <w:r>
        <w:t xml:space="preserve">Capital allocation and cash flow</w:t>
      </w:r>
    </w:p>
    <w:p>
      <w:pPr>
        <w:pStyle w:val="FirstParagraph"/>
      </w:pPr>
      <w:r>
        <w:t xml:space="preserve">Uber repurchased approximately</w:t>
      </w:r>
      <w:r>
        <w:t xml:space="preserve"> </w:t>
      </w:r>
      <m:oMath>
        <m:r>
          <m:t>3</m:t>
        </m:r>
        <m:r>
          <m:t>b</m:t>
        </m:r>
        <m:r>
          <m:t>i</m:t>
        </m:r>
        <m:r>
          <m:t>l</m:t>
        </m:r>
        <m:r>
          <m:t>l</m:t>
        </m:r>
        <m:r>
          <m:t>i</m:t>
        </m:r>
        <m:r>
          <m:t>o</m:t>
        </m:r>
        <m:r>
          <m:t>n</m:t>
        </m:r>
        <m:r>
          <m:rPr>
            <m:sty m:val="p"/>
          </m:rPr>
          <m:t>*</m:t>
        </m:r>
        <m:r>
          <m:rPr>
            <m:sty m:val="p"/>
          </m:rPr>
          <m:t>*</m:t>
        </m:r>
        <m:r>
          <m:t>o</m:t>
        </m:r>
        <m:r>
          <m:t>f</m:t>
        </m:r>
        <m:r>
          <m:t>s</m:t>
        </m:r>
        <m:r>
          <m:t>t</m:t>
        </m:r>
        <m:r>
          <m:t>o</m:t>
        </m:r>
        <m:r>
          <m:t>c</m:t>
        </m:r>
        <m:r>
          <m:t>k</m:t>
        </m:r>
        <m:r>
          <m:t>d</m:t>
        </m:r>
        <m:r>
          <m:t>u</m:t>
        </m:r>
        <m:r>
          <m:t>r</m:t>
        </m:r>
        <m:r>
          <m:t>i</m:t>
        </m:r>
        <m:r>
          <m:t>n</m:t>
        </m:r>
        <m:r>
          <m:t>g</m:t>
        </m:r>
        <m:r>
          <m:t>Q</m:t>
        </m:r>
        <m:r>
          <m:t>1</m:t>
        </m:r>
        <m:r>
          <m:t>a</m:t>
        </m:r>
        <m:r>
          <m:t>n</m:t>
        </m:r>
        <m:r>
          <m:t>d</m:t>
        </m:r>
        <m:r>
          <m:t>h</m:t>
        </m:r>
        <m:r>
          <m:t>a</m:t>
        </m:r>
        <m:r>
          <m:t>d</m:t>
        </m:r>
        <m:r>
          <m:t>a</m:t>
        </m:r>
        <m:r>
          <m:t>b</m:t>
        </m:r>
        <m:r>
          <m:t>o</m:t>
        </m:r>
        <m:r>
          <m:t>u</m:t>
        </m:r>
        <m:r>
          <m:t>t</m:t>
        </m:r>
        <m:r>
          <m:rPr>
            <m:sty m:val="p"/>
          </m:rPr>
          <m:t>*</m:t>
        </m:r>
        <m:r>
          <m:rPr>
            <m:sty m:val="p"/>
          </m:rPr>
          <m:t>*</m:t>
        </m:r>
      </m:oMath>
      <w:r>
        <w:rPr>
          <w:b/>
          <w:bCs/>
        </w:rPr>
        <w:t xml:space="preserve">16.2 billion</w:t>
      </w:r>
      <w:r>
        <w:t xml:space="preserve"> </w:t>
      </w:r>
      <w:r>
        <w:t xml:space="preserve">remaining under its authorization as of March 31. It also generated $2.29 billion of quarterly free cash flow.</w:t>
      </w:r>
    </w:p>
    <w:p>
      <w:pPr>
        <w:pStyle w:val="BodyText"/>
      </w:pPr>
      <w:r>
        <w:t xml:space="preserve">Going forward, cash must fund several competing priorities:</w:t>
      </w:r>
    </w:p>
    <w:p>
      <w:pPr>
        <w:pStyle w:val="Compact"/>
        <w:numPr>
          <w:ilvl w:val="0"/>
          <w:numId w:val="1008"/>
        </w:numPr>
      </w:pPr>
      <w:r>
        <w:t xml:space="preserve">Organic Mobility and Delivery growth.</w:t>
      </w:r>
    </w:p>
    <w:p>
      <w:pPr>
        <w:pStyle w:val="Compact"/>
        <w:numPr>
          <w:ilvl w:val="0"/>
          <w:numId w:val="1008"/>
        </w:numPr>
      </w:pPr>
      <w:r>
        <w:t xml:space="preserve">AV investments and vehicle-related commitments.</w:t>
      </w:r>
    </w:p>
    <w:p>
      <w:pPr>
        <w:pStyle w:val="Compact"/>
        <w:numPr>
          <w:ilvl w:val="0"/>
          <w:numId w:val="1008"/>
        </w:numPr>
      </w:pPr>
      <w:r>
        <w:t xml:space="preserve">The $600 million SpotHero acquisition completed in April.</w:t>
      </w:r>
    </w:p>
    <w:p>
      <w:pPr>
        <w:pStyle w:val="Compact"/>
        <w:numPr>
          <w:ilvl w:val="0"/>
          <w:numId w:val="1008"/>
        </w:numPr>
      </w:pPr>
      <w:r>
        <w:t xml:space="preserve">Delivery Hero and associated refinancing.</w:t>
      </w:r>
    </w:p>
    <w:p>
      <w:pPr>
        <w:pStyle w:val="Compact"/>
        <w:numPr>
          <w:ilvl w:val="0"/>
          <w:numId w:val="1008"/>
        </w:numPr>
      </w:pPr>
      <w:r>
        <w:t xml:space="preserve">Continued share repurchases.</w:t>
      </w:r>
    </w:p>
    <w:p>
      <w:pPr>
        <w:pStyle w:val="FirstParagraph"/>
      </w:pPr>
      <w:r>
        <w:t xml:space="preserve">A key positive signal would be management maintaining both its free-cash-flow trajectory and a meaningful buyback pace without weakening the balance sheet. A material slowdown in repurchases would not necessarily be irrational, but it would reduce one of the most visible supports for per-share earnings growth.</w:t>
      </w:r>
    </w:p>
    <w:p>
      <w:r>
        <w:pict>
          <v:rect style="width:0;height:1.5pt" o:hralign="center" o:hrstd="t" o:hr="t"/>
        </w:pict>
      </w:r>
    </w:p>
    <w:bookmarkEnd w:id="24"/>
    <w:bookmarkStart w:id="25" w:name="stock-setup"/>
    <w:p>
      <w:pPr>
        <w:pStyle w:val="Heading2"/>
      </w:pPr>
      <w:r>
        <w:t xml:space="preserve">Stock setup</w:t>
      </w:r>
    </w:p>
    <w:p>
      <w:pPr>
        <w:pStyle w:val="FirstParagraph"/>
      </w:pPr>
      <w:r>
        <w:t xml:space="preserve">Uber rose approximately</w:t>
      </w:r>
      <w:r>
        <w:t xml:space="preserve"> </w:t>
      </w:r>
      <w:r>
        <w:rPr>
          <w:b/>
          <w:bCs/>
        </w:rPr>
        <w:t xml:space="preserve">8.5% on the Q1 reporting day</w:t>
      </w:r>
      <w:r>
        <w:t xml:space="preserve">, but that gain subsequently faded. At the August 4 close of $72.01, the shares were about</w:t>
      </w:r>
      <w:r>
        <w:t xml:space="preserve"> </w:t>
      </w:r>
      <w:r>
        <w:rPr>
          <w:b/>
          <w:bCs/>
        </w:rPr>
        <w:t xml:space="preserve">1.3% below</w:t>
      </w:r>
      <w:r>
        <w:t xml:space="preserve"> </w:t>
      </w:r>
      <w:r>
        <w:t xml:space="preserve">their May 5 pre-earnings close.</w:t>
      </w:r>
    </w:p>
    <w:p>
      <w:pPr>
        <w:pStyle w:val="BodyText"/>
      </w:pPr>
      <w:r>
        <w:t xml:space="preserve">The stock also fell sharply on the July Waymo news before recovering most of that decline. The result is a relatively balanced setup:</w:t>
      </w:r>
    </w:p>
    <w:p>
      <w:pPr>
        <w:pStyle w:val="Compact"/>
        <w:numPr>
          <w:ilvl w:val="0"/>
          <w:numId w:val="1009"/>
        </w:numPr>
      </w:pPr>
      <w:r>
        <w:t xml:space="preserve">Expectations for the core quarter are healthy.</w:t>
      </w:r>
    </w:p>
    <w:p>
      <w:pPr>
        <w:pStyle w:val="Compact"/>
        <w:numPr>
          <w:ilvl w:val="0"/>
          <w:numId w:val="1009"/>
        </w:numPr>
      </w:pPr>
      <w:r>
        <w:t xml:space="preserve">AV concerns are already prominent.</w:t>
      </w:r>
    </w:p>
    <w:p>
      <w:pPr>
        <w:pStyle w:val="Compact"/>
        <w:numPr>
          <w:ilvl w:val="0"/>
          <w:numId w:val="1009"/>
        </w:numPr>
      </w:pPr>
      <w:r>
        <w:t xml:space="preserve">Delivery Hero has introduced balance-sheet and execution uncertainty.</w:t>
      </w:r>
    </w:p>
    <w:p>
      <w:pPr>
        <w:pStyle w:val="Compact"/>
        <w:numPr>
          <w:ilvl w:val="0"/>
          <w:numId w:val="1009"/>
        </w:numPr>
      </w:pPr>
      <w:r>
        <w:t xml:space="preserve">The stock is not entering the print at a post-Q1 high.</w:t>
      </w:r>
    </w:p>
    <w:p>
      <w:pPr>
        <w:pStyle w:val="FirstParagraph"/>
      </w:pPr>
      <w:r>
        <w:t xml:space="preserve">This should make forward guidance more important than a narrow EPS beat or miss.</w:t>
      </w:r>
    </w:p>
    <w:p>
      <w:r>
        <w:pict>
          <v:rect style="width:0;height:1.5pt" o:hralign="center" o:hrstd="t" o:hr="t"/>
        </w:pict>
      </w:r>
    </w:p>
    <w:bookmarkEnd w:id="25"/>
    <w:bookmarkStart w:id="29" w:name="bull-base-and-bear-outcomes"/>
    <w:p>
      <w:pPr>
        <w:pStyle w:val="Heading2"/>
      </w:pPr>
      <w:r>
        <w:t xml:space="preserve">Bull, base and bear outcomes</w:t>
      </w:r>
    </w:p>
    <w:bookmarkStart w:id="26" w:name="bull-case"/>
    <w:p>
      <w:pPr>
        <w:pStyle w:val="Heading3"/>
      </w:pPr>
      <w:r>
        <w:t xml:space="preserve">Bull case</w:t>
      </w:r>
    </w:p>
    <w:p>
      <w:pPr>
        <w:pStyle w:val="Compact"/>
        <w:numPr>
          <w:ilvl w:val="0"/>
          <w:numId w:val="1010"/>
        </w:numPr>
      </w:pPr>
      <w:r>
        <w:t xml:space="preserve">Gross Bookings at or above the high end of guidance.</w:t>
      </w:r>
    </w:p>
    <w:p>
      <w:pPr>
        <w:pStyle w:val="Compact"/>
        <w:numPr>
          <w:ilvl w:val="0"/>
          <w:numId w:val="1010"/>
        </w:numPr>
      </w:pPr>
      <w:r>
        <w:t xml:space="preserve">U.S. Mobility accelerates, with insurance savings supporting both trips and margins.</w:t>
      </w:r>
    </w:p>
    <w:p>
      <w:pPr>
        <w:pStyle w:val="Compact"/>
        <w:numPr>
          <w:ilvl w:val="0"/>
          <w:numId w:val="1010"/>
        </w:numPr>
      </w:pPr>
      <w:r>
        <w:t xml:space="preserve">Delivery sustains better-than-20% constant-currency growth and strong profit leverage.</w:t>
      </w:r>
    </w:p>
    <w:p>
      <w:pPr>
        <w:pStyle w:val="Compact"/>
        <w:numPr>
          <w:ilvl w:val="0"/>
          <w:numId w:val="1010"/>
        </w:numPr>
      </w:pPr>
      <w:r>
        <w:t xml:space="preserve">Q3 guidance implies high-teens-or-better bookings growth.</w:t>
      </w:r>
    </w:p>
    <w:p>
      <w:pPr>
        <w:pStyle w:val="Compact"/>
        <w:numPr>
          <w:ilvl w:val="0"/>
          <w:numId w:val="1010"/>
        </w:numPr>
      </w:pPr>
      <w:r>
        <w:t xml:space="preserve">Management preserves buybacks despite Delivery Hero.</w:t>
      </w:r>
    </w:p>
    <w:p>
      <w:pPr>
        <w:pStyle w:val="Compact"/>
        <w:numPr>
          <w:ilvl w:val="0"/>
          <w:numId w:val="1010"/>
        </w:numPr>
      </w:pPr>
      <w:r>
        <w:t xml:space="preserve">AV deployment target is reaffirmed with encouraging economics.</w:t>
      </w:r>
    </w:p>
    <w:bookmarkEnd w:id="26"/>
    <w:bookmarkStart w:id="27" w:name="base-case"/>
    <w:p>
      <w:pPr>
        <w:pStyle w:val="Heading3"/>
      </w:pPr>
      <w:r>
        <w:t xml:space="preserve">Base case</w:t>
      </w:r>
    </w:p>
    <w:p>
      <w:pPr>
        <w:pStyle w:val="Compact"/>
        <w:numPr>
          <w:ilvl w:val="0"/>
          <w:numId w:val="1011"/>
        </w:numPr>
      </w:pPr>
      <w:r>
        <w:t xml:space="preserve">Gross Bookings and EPS modestly beat guidance but land near consensus.</w:t>
      </w:r>
    </w:p>
    <w:p>
      <w:pPr>
        <w:pStyle w:val="Compact"/>
        <w:numPr>
          <w:ilvl w:val="0"/>
          <w:numId w:val="1011"/>
        </w:numPr>
      </w:pPr>
      <w:r>
        <w:t xml:space="preserve">Trip growth remains around 20%.</w:t>
      </w:r>
    </w:p>
    <w:p>
      <w:pPr>
        <w:pStyle w:val="Compact"/>
        <w:numPr>
          <w:ilvl w:val="0"/>
          <w:numId w:val="1011"/>
        </w:numPr>
      </w:pPr>
      <w:r>
        <w:t xml:space="preserve">Q3 guidance is broadly consistent with current growth.</w:t>
      </w:r>
    </w:p>
    <w:p>
      <w:pPr>
        <w:pStyle w:val="Compact"/>
        <w:numPr>
          <w:ilvl w:val="0"/>
          <w:numId w:val="1011"/>
        </w:numPr>
      </w:pPr>
      <w:r>
        <w:t xml:space="preserve">Management reiterates the Delivery Hero rationale without providing major new detail.</w:t>
      </w:r>
    </w:p>
    <w:p>
      <w:pPr>
        <w:pStyle w:val="Compact"/>
        <w:numPr>
          <w:ilvl w:val="0"/>
          <w:numId w:val="1011"/>
        </w:numPr>
      </w:pPr>
      <w:r>
        <w:t xml:space="preserve">The stock reaction is limited or dependent on call commentary.</w:t>
      </w:r>
    </w:p>
    <w:bookmarkEnd w:id="27"/>
    <w:bookmarkStart w:id="28" w:name="bear-case"/>
    <w:p>
      <w:pPr>
        <w:pStyle w:val="Heading3"/>
      </w:pPr>
      <w:r>
        <w:t xml:space="preserve">Bear case</w:t>
      </w:r>
    </w:p>
    <w:p>
      <w:pPr>
        <w:pStyle w:val="Compact"/>
        <w:numPr>
          <w:ilvl w:val="0"/>
          <w:numId w:val="1012"/>
        </w:numPr>
      </w:pPr>
      <w:r>
        <w:t xml:space="preserve">Gross Bookings land near the bottom of guidance.</w:t>
      </w:r>
    </w:p>
    <w:p>
      <w:pPr>
        <w:pStyle w:val="Compact"/>
        <w:numPr>
          <w:ilvl w:val="0"/>
          <w:numId w:val="1012"/>
        </w:numPr>
      </w:pPr>
      <w:r>
        <w:t xml:space="preserve">U.S. Mobility acceleration fails to materialize.</w:t>
      </w:r>
    </w:p>
    <w:p>
      <w:pPr>
        <w:pStyle w:val="Compact"/>
        <w:numPr>
          <w:ilvl w:val="0"/>
          <w:numId w:val="1012"/>
        </w:numPr>
      </w:pPr>
      <w:r>
        <w:t xml:space="preserve">Insurance savings are absorbed by pricing or higher claims.</w:t>
      </w:r>
    </w:p>
    <w:p>
      <w:pPr>
        <w:pStyle w:val="Compact"/>
        <w:numPr>
          <w:ilvl w:val="0"/>
          <w:numId w:val="1012"/>
        </w:numPr>
      </w:pPr>
      <w:r>
        <w:t xml:space="preserve">Delivery growth slows while marketing expense remains elevated.</w:t>
      </w:r>
    </w:p>
    <w:p>
      <w:pPr>
        <w:pStyle w:val="Compact"/>
        <w:numPr>
          <w:ilvl w:val="0"/>
          <w:numId w:val="1012"/>
        </w:numPr>
      </w:pPr>
      <w:r>
        <w:t xml:space="preserve">Q3 guidance points to mid-teens growth or weaker margin expansion.</w:t>
      </w:r>
    </w:p>
    <w:p>
      <w:pPr>
        <w:pStyle w:val="Compact"/>
        <w:numPr>
          <w:ilvl w:val="0"/>
          <w:numId w:val="1012"/>
        </w:numPr>
      </w:pPr>
      <w:r>
        <w:t xml:space="preserve">Management signals lower buybacks or higher financing costs.</w:t>
      </w:r>
    </w:p>
    <w:p>
      <w:pPr>
        <w:pStyle w:val="Compact"/>
        <w:numPr>
          <w:ilvl w:val="0"/>
          <w:numId w:val="1012"/>
        </w:numPr>
      </w:pPr>
      <w:r>
        <w:t xml:space="preserve">Waymo commentary raises doubts about Uber’s AV aggregator strategy.</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The core Uber thesis remains straightforward:</w:t>
      </w:r>
      <w:r>
        <w:t xml:space="preserve"> </w:t>
      </w:r>
      <w:r>
        <w:rPr>
          <w:b/>
          <w:bCs/>
        </w:rPr>
        <w:t xml:space="preserve">roughly 20% platform growth, earnings scaling faster than bookings and strong free-cash-flow conversion</w:t>
      </w:r>
      <w:r>
        <w:t xml:space="preserve">.</w:t>
      </w:r>
    </w:p>
    <w:p>
      <w:pPr>
        <w:pStyle w:val="BodyText"/>
      </w:pPr>
      <w:r>
        <w:t xml:space="preserve">The standard for a good report, however, is higher than simply meeting Q2 guidance. Investors need evidence that:</w:t>
      </w:r>
    </w:p>
    <w:p>
      <w:pPr>
        <w:pStyle w:val="Compact"/>
        <w:numPr>
          <w:ilvl w:val="0"/>
          <w:numId w:val="1013"/>
        </w:numPr>
      </w:pPr>
      <w:r>
        <w:t xml:space="preserve">U.S. Mobility is accelerating.</w:t>
      </w:r>
    </w:p>
    <w:p>
      <w:pPr>
        <w:pStyle w:val="Compact"/>
        <w:numPr>
          <w:ilvl w:val="0"/>
          <w:numId w:val="1013"/>
        </w:numPr>
      </w:pPr>
      <w:r>
        <w:t xml:space="preserve">Delivery’s profit growth is durable.</w:t>
      </w:r>
    </w:p>
    <w:p>
      <w:pPr>
        <w:pStyle w:val="Compact"/>
        <w:numPr>
          <w:ilvl w:val="0"/>
          <w:numId w:val="1013"/>
        </w:numPr>
      </w:pPr>
      <w:r>
        <w:t xml:space="preserve">Q3 retains strong topline and margin momentum.</w:t>
      </w:r>
    </w:p>
    <w:p>
      <w:pPr>
        <w:pStyle w:val="Compact"/>
        <w:numPr>
          <w:ilvl w:val="0"/>
          <w:numId w:val="1013"/>
        </w:numPr>
      </w:pPr>
      <w:r>
        <w:t xml:space="preserve">Delivery Hero will not compromise financial discipline.</w:t>
      </w:r>
    </w:p>
    <w:p>
      <w:pPr>
        <w:pStyle w:val="Compact"/>
        <w:numPr>
          <w:ilvl w:val="0"/>
          <w:numId w:val="1013"/>
        </w:numPr>
      </w:pPr>
      <w:r>
        <w:t xml:space="preserve">Uber’s multi-partner AV model remains credible after the Waymo developments.</w:t>
      </w:r>
    </w:p>
    <w:p>
      <w:pPr>
        <w:pStyle w:val="FirstParagraph"/>
      </w:pPr>
      <w:r>
        <w:t xml:space="preserve">The most important numbers will be</w:t>
      </w:r>
      <w:r>
        <w:t xml:space="preserve"> </w:t>
      </w:r>
      <w:r>
        <w:rPr>
          <w:b/>
          <w:bCs/>
        </w:rPr>
        <w:t xml:space="preserve">Gross Bookings growth, trip growth, Non-GAAP Operating Income and Q3 guidance</w:t>
      </w:r>
      <w:r>
        <w:t xml:space="preserve">. The most important narrative will be whether Uber can simultaneously fund organic growth, AV expansion, Delivery Hero and shareholder returns without diluting its earnings-compounding story.</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 Target="https://investor.uber.com/news-events/news/press-release-details/2026/Uber-Announces-Acquisition-Offer-for-Delivery-Hero/default.aspx?utm_source=openai" TargetMode="External" /><Relationship Type="http://schemas.openxmlformats.org/officeDocument/2006/relationships/hyperlink" Id="rId9" Target="https://investor.uber.com/news-events/news/press-release-details/2026/Uber-Announces-Date-of-Second-Quarter-2026-Results-Conference-Call/default.aspx?utm_source=openai" TargetMode="External" /><Relationship Type="http://schemas.openxmlformats.org/officeDocument/2006/relationships/hyperlink" Id="rId13" Target="https://investor.uber.com/news-events/news/press-release-details/2026/Uber-Announces-Results-for-First-Quarter-2026/default.aspx?ftag=YHF4eb9d17&amp;utm_source=openai" TargetMode="External" /><Relationship Type="http://schemas.openxmlformats.org/officeDocument/2006/relationships/hyperlink" Id="rId21" Target="https://news.bloomberglaw.com/tech-and-telecom-law/uber-cuts-10-of-customer-service-jobs-to-embrace-ai-1?utm_source=openai" TargetMode="External" /><Relationship Type="http://schemas.openxmlformats.org/officeDocument/2006/relationships/hyperlink" Id="rId19" Target="https://news.bloomberglaw.com/tech-and-telecom-law/waymo-plans-end-of-uber-robotaxi-tie-up-stepping-up-rivalry-1?utm_source=openai" TargetMode="External" /><Relationship Type="http://schemas.openxmlformats.org/officeDocument/2006/relationships/hyperlink" Id="rId11" Target="https://www.benzinga.com/quote/UBER/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7" Target="https://investor.uber.com/news-events/news/press-release-details/2026/Uber-Announces-Acquisition-Offer-for-Delivery-Hero/default.aspx?utm_source=openai" TargetMode="External" /><Relationship Type="http://schemas.openxmlformats.org/officeDocument/2006/relationships/hyperlink" Id="rId9" Target="https://investor.uber.com/news-events/news/press-release-details/2026/Uber-Announces-Date-of-Second-Quarter-2026-Results-Conference-Call/default.aspx?utm_source=openai" TargetMode="External" /><Relationship Type="http://schemas.openxmlformats.org/officeDocument/2006/relationships/hyperlink" Id="rId13" Target="https://investor.uber.com/news-events/news/press-release-details/2026/Uber-Announces-Results-for-First-Quarter-2026/default.aspx?ftag=YHF4eb9d17&amp;utm_source=openai" TargetMode="External" /><Relationship Type="http://schemas.openxmlformats.org/officeDocument/2006/relationships/hyperlink" Id="rId21" Target="https://news.bloomberglaw.com/tech-and-telecom-law/uber-cuts-10-of-customer-service-jobs-to-embrace-ai-1?utm_source=openai" TargetMode="External" /><Relationship Type="http://schemas.openxmlformats.org/officeDocument/2006/relationships/hyperlink" Id="rId19" Target="https://news.bloomberglaw.com/tech-and-telecom-law/waymo-plans-end-of-uber-robotaxi-tie-up-stepping-up-rivalry-1?utm_source=openai" TargetMode="External" /><Relationship Type="http://schemas.openxmlformats.org/officeDocument/2006/relationships/hyperlink" Id="rId11" Target="https://www.benzinga.com/quote/UBER/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2026-08-05T00:04:43Z</dcterms:created>
  <dcterms:modified xsi:type="dcterms:W3CDTF">2026-08-05T00:04:43Z</dcterms:modified>
</cp:coreProperties>
</file>

<file path=docProps/custom.xml><?xml version="1.0" encoding="utf-8"?>
<Properties xmlns="http://schemas.openxmlformats.org/officeDocument/2006/custom-properties" xmlns:vt="http://schemas.openxmlformats.org/officeDocument/2006/docPropsVTypes"/>
</file>