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uber-nyse-uber--q2-2026-earnings-preview"/>
    <w:p>
      <w:pPr>
        <w:pStyle w:val="Heading1"/>
      </w:pPr>
      <w:r>
        <w:t xml:space="preserve">Uber (NYSE: UBER) — Q2 2026 Earnings Preview</w:t>
      </w:r>
    </w:p>
    <w:p>
      <w:pPr>
        <w:pStyle w:val="FirstParagraph"/>
      </w:pPr>
      <w:r>
        <w:rPr>
          <w:b/>
          <w:bCs/>
        </w:rPr>
        <w:t xml:space="preserve">Event:</w:t>
      </w:r>
      <w:r>
        <w:t xml:space="preserve"> </w:t>
      </w:r>
      <w:r>
        <w:t xml:space="preserve">Wednesday, August 5, 2026, before the U.S. market opens; earnings call at</w:t>
      </w:r>
      <w:r>
        <w:t xml:space="preserve"> </w:t>
      </w:r>
      <w:r>
        <w:rPr>
          <w:b/>
          <w:bCs/>
        </w:rPr>
        <w:t xml:space="preserve">8:00 a.m. ET</w:t>
      </w:r>
      <w:r>
        <w:t xml:space="preserve">. (</w:t>
      </w:r>
      <w:hyperlink r:id="rId9">
        <w:r>
          <w:rPr>
            <w:rStyle w:val="Hyperlink"/>
          </w:rPr>
          <w:t xml:space="preserve">investor.uber.com</w:t>
        </w:r>
      </w:hyperlink>
      <w:r>
        <w:t xml:space="preserve">)</w:t>
      </w:r>
    </w:p>
    <w:bookmarkStart w:id="10" w:name="Xdf16ec1a90d74f2a2840c379623c626f9efea8d"/>
    <w:p>
      <w:pPr>
        <w:pStyle w:val="Heading2"/>
      </w:pPr>
      <w:r>
        <w:t xml:space="preserve">Investment view: the quarter is about execution, but the call is about durability</w:t>
      </w:r>
    </w:p>
    <w:p>
      <w:pPr>
        <w:pStyle w:val="FirstParagraph"/>
      </w:pPr>
      <w:r>
        <w:t xml:space="preserve">Uber enters Q2 with a favorable fundamental setup: management guided to another quarter of high-teens to low-20s constant-currency Gross Bookings growth while maintaining substantial earnings growth. The more important question for investors is whether the company can</w:t>
      </w:r>
      <w:r>
        <w:t xml:space="preserve"> </w:t>
      </w:r>
      <w:r>
        <w:rPr>
          <w:b/>
          <w:bCs/>
        </w:rPr>
        <w:t xml:space="preserve">extend that growth-and-margin algorithm into the second half of 2026</w:t>
      </w:r>
      <w:r>
        <w:t xml:space="preserve"> </w:t>
      </w:r>
      <w:r>
        <w:t xml:space="preserve">while absorbing greater strategic complexity: price reinvestment in U.S. Mobility, international Delivery competition, autonomous-vehicle investment, and the pending Delivery Hero acquisition.</w:t>
      </w:r>
    </w:p>
    <w:p>
      <w:pPr>
        <w:pStyle w:val="BodyText"/>
      </w:pPr>
      <w:r>
        <w:t xml:space="preserve">The central debate is no longer whether Uber can generate profits and free cash flow—it clearly can. The debate is whether its platform advantages, lower insurance costs, membership ecosystem, and cross-selling can sustain growth fast enough to offset the long-term threat and near-term investment demands associated with AVs.</w:t>
      </w:r>
    </w:p>
    <w:bookmarkEnd w:id="10"/>
    <w:bookmarkStart w:id="12" w:name="X3562b105c887a6b7c0e05ae17d08e16a5eb28b5"/>
    <w:p>
      <w:pPr>
        <w:pStyle w:val="Heading2"/>
      </w:pPr>
      <w:r>
        <w:t xml:space="preserve">The numerical hurdle: management’s Q2 guide</w:t>
      </w:r>
    </w:p>
    <w:p>
      <w:pPr>
        <w:pStyle w:val="FirstParagraph"/>
      </w:pPr>
      <w:r>
        <w:t xml:space="preserve">Uber’s May outlook is the cleanest benchmark for Wednesday’s report: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management outlook</w:t>
            </w:r>
          </w:p>
        </w:tc>
        <w:tc>
          <w:tcPr/>
          <w:p>
            <w:pPr>
              <w:pStyle w:val="Compact"/>
              <w:jc w:val="right"/>
            </w:pPr>
            <w:r>
              <w:t xml:space="preserve">Low</w:t>
            </w:r>
          </w:p>
        </w:tc>
        <w:tc>
          <w:tcPr/>
          <w:p>
            <w:pPr>
              <w:pStyle w:val="Compact"/>
              <w:jc w:val="right"/>
            </w:pPr>
            <w:r>
              <w:t xml:space="preserve">Midpoint</w:t>
            </w:r>
          </w:p>
        </w:tc>
        <w:tc>
          <w:tcPr/>
          <w:p>
            <w:pPr>
              <w:pStyle w:val="Compact"/>
              <w:jc w:val="right"/>
            </w:pPr>
            <w:r>
              <w:t xml:space="preserve">High</w:t>
            </w:r>
          </w:p>
        </w:tc>
      </w:tr>
      <w:tr>
        <w:tc>
          <w:tcPr/>
          <w:p>
            <w:pPr>
              <w:pStyle w:val="Compact"/>
            </w:pPr>
            <w:r>
              <w:t xml:space="preserve">Gross Bookings</w:t>
            </w:r>
          </w:p>
        </w:tc>
        <w:tc>
          <w:tcPr/>
          <w:p>
            <w:pPr>
              <w:pStyle w:val="Compact"/>
              <w:jc w:val="right"/>
            </w:pPr>
            <w:r>
              <w:t xml:space="preserve">$56.25B</w:t>
            </w:r>
          </w:p>
        </w:tc>
        <w:tc>
          <w:tcPr/>
          <w:p>
            <w:pPr>
              <w:pStyle w:val="Compact"/>
              <w:jc w:val="right"/>
            </w:pPr>
            <w:r>
              <w:rPr>
                <w:b/>
                <w:bCs/>
              </w:rPr>
              <w:t xml:space="preserve">$57.00B</w:t>
            </w:r>
          </w:p>
        </w:tc>
        <w:tc>
          <w:tcPr/>
          <w:p>
            <w:pPr>
              <w:pStyle w:val="Compact"/>
              <w:jc w:val="right"/>
            </w:pPr>
            <w:r>
              <w:t xml:space="preserve">$57.75B</w:t>
            </w:r>
          </w:p>
        </w:tc>
      </w:tr>
      <w:tr>
        <w:tc>
          <w:tcPr/>
          <w:p>
            <w:pPr>
              <w:pStyle w:val="Compact"/>
            </w:pPr>
            <w:r>
              <w:t xml:space="preserve">Constant-currency Gross Bookings growth</w:t>
            </w:r>
          </w:p>
        </w:tc>
        <w:tc>
          <w:tcPr/>
          <w:p>
            <w:pPr>
              <w:pStyle w:val="Compact"/>
              <w:jc w:val="right"/>
            </w:pPr>
            <w:r>
              <w:t xml:space="preserve">18%</w:t>
            </w:r>
          </w:p>
        </w:tc>
        <w:tc>
          <w:tcPr/>
          <w:p>
            <w:pPr>
              <w:pStyle w:val="Compact"/>
              <w:jc w:val="right"/>
            </w:pPr>
            <w:r>
              <w:rPr>
                <w:b/>
                <w:bCs/>
              </w:rPr>
              <w:t xml:space="preserve">20%</w:t>
            </w:r>
          </w:p>
        </w:tc>
        <w:tc>
          <w:tcPr/>
          <w:p>
            <w:pPr>
              <w:pStyle w:val="Compact"/>
              <w:jc w:val="right"/>
            </w:pPr>
            <w:r>
              <w:t xml:space="preserve">22%</w:t>
            </w:r>
          </w:p>
        </w:tc>
      </w:tr>
      <w:tr>
        <w:tc>
          <w:tcPr/>
          <w:p>
            <w:pPr>
              <w:pStyle w:val="Compact"/>
            </w:pPr>
            <w:r>
              <w:t xml:space="preserve">Adjusted EBITDA</w:t>
            </w:r>
          </w:p>
        </w:tc>
        <w:tc>
          <w:tcPr/>
          <w:p>
            <w:pPr>
              <w:pStyle w:val="Compact"/>
              <w:jc w:val="right"/>
            </w:pPr>
            <w:r>
              <w:t xml:space="preserve">$2.70B</w:t>
            </w:r>
          </w:p>
        </w:tc>
        <w:tc>
          <w:tcPr/>
          <w:p>
            <w:pPr>
              <w:pStyle w:val="Compact"/>
              <w:jc w:val="right"/>
            </w:pPr>
            <w:r>
              <w:rPr>
                <w:b/>
                <w:bCs/>
              </w:rPr>
              <w:t xml:space="preserve">$2.75B</w:t>
            </w:r>
          </w:p>
        </w:tc>
        <w:tc>
          <w:tcPr/>
          <w:p>
            <w:pPr>
              <w:pStyle w:val="Compact"/>
              <w:jc w:val="right"/>
            </w:pPr>
            <w:r>
              <w:t xml:space="preserve">$2.80B</w:t>
            </w:r>
          </w:p>
        </w:tc>
      </w:tr>
      <w:tr>
        <w:tc>
          <w:tcPr/>
          <w:p>
            <w:pPr>
              <w:pStyle w:val="Compact"/>
            </w:pPr>
            <w:r>
              <w:t xml:space="preserve">Non-GAAP EPS</w:t>
            </w:r>
          </w:p>
        </w:tc>
        <w:tc>
          <w:tcPr/>
          <w:p>
            <w:pPr>
              <w:pStyle w:val="Compact"/>
              <w:jc w:val="right"/>
            </w:pPr>
            <w:r>
              <w:t xml:space="preserve">$0.78</w:t>
            </w:r>
          </w:p>
        </w:tc>
        <w:tc>
          <w:tcPr/>
          <w:p>
            <w:pPr>
              <w:pStyle w:val="Compact"/>
              <w:jc w:val="right"/>
            </w:pPr>
            <w:r>
              <w:rPr>
                <w:b/>
                <w:bCs/>
              </w:rPr>
              <w:t xml:space="preserve">$0.80</w:t>
            </w:r>
          </w:p>
        </w:tc>
        <w:tc>
          <w:tcPr/>
          <w:p>
            <w:pPr>
              <w:pStyle w:val="Compact"/>
              <w:jc w:val="right"/>
            </w:pPr>
            <w:r>
              <w:t xml:space="preserve">$0.82</w:t>
            </w:r>
          </w:p>
        </w:tc>
      </w:tr>
    </w:tbl>
    <w:p>
      <w:pPr>
        <w:pStyle w:val="BodyText"/>
      </w:pPr>
      <w:r>
        <w:t xml:space="preserve">The guide assumes roughly a</w:t>
      </w:r>
      <w:r>
        <w:t xml:space="preserve"> </w:t>
      </w:r>
      <w:r>
        <w:rPr>
          <w:b/>
          <w:bCs/>
        </w:rPr>
        <w:t xml:space="preserve">two-percentage-point FX tailwind</w:t>
      </w:r>
      <w:r>
        <w:t xml:space="preserve"> </w:t>
      </w:r>
      <w:r>
        <w:t xml:space="preserve">to reported Gross Bookings growth. For the stock, simply landing within the range may not be enough: investors will likely look for a result at or above the high end, plus Q3 commentary that supports continued double-digit growth and incremental profitability. (</w:t>
      </w:r>
      <w:hyperlink r:id="rId11">
        <w:r>
          <w:rPr>
            <w:rStyle w:val="Hyperlink"/>
          </w:rPr>
          <w:t xml:space="preserve">investor.uber.com</w:t>
        </w:r>
      </w:hyperlink>
      <w:r>
        <w:t xml:space="preserve">)</w:t>
      </w:r>
    </w:p>
    <w:bookmarkEnd w:id="12"/>
    <w:bookmarkStart w:id="18" w:name="why-the-setup-is-constructive"/>
    <w:p>
      <w:pPr>
        <w:pStyle w:val="Heading2"/>
      </w:pPr>
      <w:r>
        <w:t xml:space="preserve">Why the setup is constructive</w:t>
      </w:r>
    </w:p>
    <w:bookmarkStart w:id="13" w:name="Xde28caebc444be5cd49d2023bc34fced381b80c"/>
    <w:p>
      <w:pPr>
        <w:pStyle w:val="Heading3"/>
      </w:pPr>
      <w:r>
        <w:t xml:space="preserve">1. Core platform momentum was strong exiting Q1</w:t>
      </w:r>
    </w:p>
    <w:p>
      <w:pPr>
        <w:pStyle w:val="FirstParagraph"/>
      </w:pPr>
      <w:r>
        <w:t xml:space="preserve">Q1 established a high bar: trips rose 20% year over year to 3.64 billion, MAPCs increased 17% to 199 million, and Gross Bookings grew 21% on a constant-currency basis to $53.7 billion. Both major businesses contributed: Mobility Gross Bookings grew 20% constant currency, while Delivery grew 23%. That mix matters—Uber is not depending on a single geography or product to drive the guide. (</w:t>
      </w:r>
      <w:hyperlink r:id="rId11">
        <w:r>
          <w:rPr>
            <w:rStyle w:val="Hyperlink"/>
          </w:rPr>
          <w:t xml:space="preserve">investor.uber.com</w:t>
        </w:r>
      </w:hyperlink>
      <w:r>
        <w:t xml:space="preserve">)</w:t>
      </w:r>
    </w:p>
    <w:bookmarkEnd w:id="13"/>
    <w:bookmarkStart w:id="15" w:name="Xf4474dc1c69cf5eb48e674d0bf6aa226542f613"/>
    <w:p>
      <w:pPr>
        <w:pStyle w:val="Heading3"/>
      </w:pPr>
      <w:r>
        <w:t xml:space="preserve">2. Earnings growth has been outpacing the top line</w:t>
      </w:r>
    </w:p>
    <w:p>
      <w:pPr>
        <w:pStyle w:val="FirstParagraph"/>
      </w:pPr>
      <w:r>
        <w:t xml:space="preserve">In Q1, Adjusted EBITDA grew 33% year over year to $2.48 billion, Non-GAAP operating income rose 42% to $1.88 billion, and Non-GAAP EPS increased 44% to $0.72. Free cash flow was $2.29 billion. That establishes the key expectation for Q2: continued operating leverage, not merely a bookings beat. (</w:t>
      </w:r>
      <w:hyperlink r:id="rId14">
        <w:r>
          <w:rPr>
            <w:rStyle w:val="Hyperlink"/>
          </w:rPr>
          <w:t xml:space="preserve">investor.uber.com</w:t>
        </w:r>
      </w:hyperlink>
      <w:r>
        <w:t xml:space="preserve">)</w:t>
      </w:r>
    </w:p>
    <w:bookmarkEnd w:id="15"/>
    <w:bookmarkStart w:id="16" w:name="X1474a4eb155b28fbf17c583d103e6e7d4b07e53"/>
    <w:p>
      <w:pPr>
        <w:pStyle w:val="Heading3"/>
      </w:pPr>
      <w:r>
        <w:t xml:space="preserve">3. U.S. Mobility may have a self-reinforcing growth catalyst</w:t>
      </w:r>
    </w:p>
    <w:p>
      <w:pPr>
        <w:pStyle w:val="FirstParagraph"/>
      </w:pPr>
      <w:r>
        <w:t xml:space="preserve">Management highlighted improved auto-insurance economics and its intention to reinvest part of those savings into rider affordability. If lower fares are producing the expected trip elasticity—particularly in historically pressured markets such as Los Angeles and San Francisco—Mobility could sustain or improve its growth trajectory while still delivering insurance-cost leverage. The key is whether management can show that price investment is</w:t>
      </w:r>
      <w:r>
        <w:t xml:space="preserve"> </w:t>
      </w:r>
      <w:r>
        <w:rPr>
          <w:b/>
          <w:bCs/>
        </w:rPr>
        <w:t xml:space="preserve">expanding trips and consumer frequency faster than it compresses take rate or segment profit</w:t>
      </w:r>
      <w:r>
        <w:t xml:space="preserve">.</w:t>
      </w:r>
    </w:p>
    <w:bookmarkEnd w:id="16"/>
    <w:bookmarkStart w:id="17" w:name="X67a12d780a426953e131dda259ee9b065d2f0c9"/>
    <w:p>
      <w:pPr>
        <w:pStyle w:val="Heading3"/>
      </w:pPr>
      <w:r>
        <w:t xml:space="preserve">4. Membership and cross-platform engagement remain strategic assets</w:t>
      </w:r>
    </w:p>
    <w:p>
      <w:pPr>
        <w:pStyle w:val="FirstParagraph"/>
      </w:pPr>
      <w:r>
        <w:t xml:space="preserve">Uber surpassed 50 million Uber One members in Q1, with members representing about half of Mobility and Delivery Gross Bookings. The opportunity is to turn the large installed Mobility audience into Delivery users—and then into broader travel and local-commerce users—without requiring proportionate sales-and-marketing spend. The quarter should provide an update on member growth, retention, cross-platform adoption, and whether new products are increasing frequency rather than merely adding promotional expense. (</w:t>
      </w:r>
      <w:hyperlink r:id="rId14">
        <w:r>
          <w:rPr>
            <w:rStyle w:val="Hyperlink"/>
          </w:rPr>
          <w:t xml:space="preserve">investor.uber.com</w:t>
        </w:r>
      </w:hyperlink>
      <w:r>
        <w:t xml:space="preserve">)</w:t>
      </w:r>
    </w:p>
    <w:bookmarkEnd w:id="17"/>
    <w:bookmarkEnd w:id="18"/>
    <w:bookmarkStart w:id="23" w:name="Xf753910c55c2a1a5cf121b42581a6858acfc06e"/>
    <w:p>
      <w:pPr>
        <w:pStyle w:val="Heading2"/>
      </w:pPr>
      <w:r>
        <w:t xml:space="preserve">What investors should focus on in the release</w:t>
      </w:r>
    </w:p>
    <w:bookmarkStart w:id="19" w:name="X525cce5fab4d50924d7b023bc4c07796374c41c"/>
    <w:p>
      <w:pPr>
        <w:pStyle w:val="Heading3"/>
      </w:pPr>
      <w:r>
        <w:t xml:space="preserve">1. Gross Bookings quality: trips, MAPCs, and frequency</w:t>
      </w:r>
    </w:p>
    <w:p>
      <w:pPr>
        <w:pStyle w:val="FirstParagraph"/>
      </w:pPr>
      <w:r>
        <w:t xml:space="preserve">The most important operating question is whether bookings growth remains principally</w:t>
      </w:r>
      <w:r>
        <w:t xml:space="preserve"> </w:t>
      </w:r>
      <w:r>
        <w:rPr>
          <w:b/>
          <w:bCs/>
        </w:rPr>
        <w:t xml:space="preserve">trip- and audience-led</w:t>
      </w:r>
      <w:r>
        <w:t xml:space="preserve">.</w:t>
      </w:r>
    </w:p>
    <w:p>
      <w:pPr>
        <w:pStyle w:val="BodyText"/>
      </w:pPr>
      <w:r>
        <w:t xml:space="preserve">Watch for:</w:t>
      </w:r>
    </w:p>
    <w:p>
      <w:pPr>
        <w:pStyle w:val="Compact"/>
        <w:numPr>
          <w:ilvl w:val="0"/>
          <w:numId w:val="1001"/>
        </w:numPr>
      </w:pPr>
      <w:r>
        <w:rPr>
          <w:b/>
          <w:bCs/>
        </w:rPr>
        <w:t xml:space="preserve">Trips growth:</w:t>
      </w:r>
      <w:r>
        <w:t xml:space="preserve"> </w:t>
      </w:r>
      <w:r>
        <w:t xml:space="preserve">Sustained growth near Q1’s 20% would support the affordability, selection, and cross-sell thesis.</w:t>
      </w:r>
    </w:p>
    <w:p>
      <w:pPr>
        <w:pStyle w:val="Compact"/>
        <w:numPr>
          <w:ilvl w:val="0"/>
          <w:numId w:val="1001"/>
        </w:numPr>
      </w:pPr>
      <w:r>
        <w:rPr>
          <w:b/>
          <w:bCs/>
        </w:rPr>
        <w:t xml:space="preserve">MAPC growth versus trips per MAPC:</w:t>
      </w:r>
      <w:r>
        <w:t xml:space="preserve"> </w:t>
      </w:r>
      <w:r>
        <w:t xml:space="preserve">Consumer additions validate Uber’s reach; frequency growth validates product relevance and membership economics.</w:t>
      </w:r>
    </w:p>
    <w:p>
      <w:pPr>
        <w:pStyle w:val="Compact"/>
        <w:numPr>
          <w:ilvl w:val="0"/>
          <w:numId w:val="1001"/>
        </w:numPr>
      </w:pPr>
      <w:r>
        <w:rPr>
          <w:b/>
          <w:bCs/>
        </w:rPr>
        <w:t xml:space="preserve">Mobility versus Delivery contribution:</w:t>
      </w:r>
      <w:r>
        <w:t xml:space="preserve"> </w:t>
      </w:r>
      <w:r>
        <w:t xml:space="preserve">A balanced result is more valuable than a result driven by a single segment.</w:t>
      </w:r>
    </w:p>
    <w:p>
      <w:pPr>
        <w:pStyle w:val="Compact"/>
        <w:numPr>
          <w:ilvl w:val="0"/>
          <w:numId w:val="1001"/>
        </w:numPr>
      </w:pPr>
      <w:r>
        <w:rPr>
          <w:b/>
          <w:bCs/>
        </w:rPr>
        <w:t xml:space="preserve">Constant-currency versus reported growth:</w:t>
      </w:r>
      <w:r>
        <w:t xml:space="preserve"> </w:t>
      </w:r>
      <w:r>
        <w:t xml:space="preserve">FX is favorable in the Q2 guide, so investors should separate underlying demand from translation benefits.</w:t>
      </w:r>
    </w:p>
    <w:bookmarkEnd w:id="19"/>
    <w:bookmarkStart w:id="20" w:name="Xc67a52dc40765f8e3cde621254b6d0be6abc395"/>
    <w:p>
      <w:pPr>
        <w:pStyle w:val="Heading3"/>
      </w:pPr>
      <w:r>
        <w:t xml:space="preserve">2. Mobility: affordability gains versus monetization</w:t>
      </w:r>
    </w:p>
    <w:p>
      <w:pPr>
        <w:pStyle w:val="FirstParagraph"/>
      </w:pPr>
      <w:r>
        <w:t xml:space="preserve">In Q1, Mobility bookings grew 20% constant currency, but Mobility revenue increased only 1% constant currency, reflecting business-model changes. This is a reminder that</w:t>
      </w:r>
      <w:r>
        <w:t xml:space="preserve"> </w:t>
      </w:r>
      <w:r>
        <w:rPr>
          <w:b/>
          <w:bCs/>
        </w:rPr>
        <w:t xml:space="preserve">Gross Bookings and revenue can diverge materially</w:t>
      </w:r>
      <w:r>
        <w:t xml:space="preserve"> </w:t>
      </w:r>
      <w:r>
        <w:t xml:space="preserve">at Uber. Investors should prioritize Mobility booking growth, trips, segment operating income, and insurance-cost progress over a headline revenue comparison alone. (</w:t>
      </w:r>
      <w:hyperlink r:id="rId11">
        <w:r>
          <w:rPr>
            <w:rStyle w:val="Hyperlink"/>
          </w:rPr>
          <w:t xml:space="preserve">investor.uber.com</w:t>
        </w:r>
      </w:hyperlink>
      <w:r>
        <w:t xml:space="preserve">)</w:t>
      </w:r>
    </w:p>
    <w:p>
      <w:pPr>
        <w:pStyle w:val="BodyText"/>
      </w:pPr>
      <w:r>
        <w:t xml:space="preserve">Key questions:</w:t>
      </w:r>
    </w:p>
    <w:p>
      <w:pPr>
        <w:pStyle w:val="Compact"/>
        <w:numPr>
          <w:ilvl w:val="0"/>
          <w:numId w:val="1002"/>
        </w:numPr>
      </w:pPr>
      <w:r>
        <w:t xml:space="preserve">Is U.S. Mobility accelerating as anticipated?</w:t>
      </w:r>
    </w:p>
    <w:p>
      <w:pPr>
        <w:pStyle w:val="Compact"/>
        <w:numPr>
          <w:ilvl w:val="0"/>
          <w:numId w:val="1002"/>
        </w:numPr>
      </w:pPr>
      <w:r>
        <w:t xml:space="preserve">Are lower insurance costs recurring, and how much is being retained versus passed back to riders?</w:t>
      </w:r>
    </w:p>
    <w:p>
      <w:pPr>
        <w:pStyle w:val="Compact"/>
        <w:numPr>
          <w:ilvl w:val="0"/>
          <w:numId w:val="1002"/>
        </w:numPr>
      </w:pPr>
      <w:r>
        <w:t xml:space="preserve">Is Uber gaining share in key urban and suburban markets?</w:t>
      </w:r>
    </w:p>
    <w:p>
      <w:pPr>
        <w:pStyle w:val="Compact"/>
        <w:numPr>
          <w:ilvl w:val="0"/>
          <w:numId w:val="1002"/>
        </w:numPr>
      </w:pPr>
      <w:r>
        <w:t xml:space="preserve">Are premium products, Reserve, and lower-cost offerings expanding the customer base and frequency simultaneously?</w:t>
      </w:r>
    </w:p>
    <w:bookmarkEnd w:id="20"/>
    <w:bookmarkStart w:id="21" w:name="Xcd86cdd7d2a92626ccf87a76d96e9e877431e9a"/>
    <w:p>
      <w:pPr>
        <w:pStyle w:val="Heading3"/>
      </w:pPr>
      <w:r>
        <w:t xml:space="preserve">3. Delivery: growth is strong, but investment discipline matters</w:t>
      </w:r>
    </w:p>
    <w:p>
      <w:pPr>
        <w:pStyle w:val="FirstParagraph"/>
      </w:pPr>
      <w:r>
        <w:t xml:space="preserve">Delivery was the fastest large segment in Q1, with 23% constant-currency Gross Bookings growth and 43% segment operating-income growth. Wednesday should clarify whether grocery, retail, suburban expansion, and Uber One cross-sell are sustaining that trajectory without a renewed increase in competitive subsidies. (</w:t>
      </w:r>
      <w:hyperlink r:id="rId11">
        <w:r>
          <w:rPr>
            <w:rStyle w:val="Hyperlink"/>
          </w:rPr>
          <w:t xml:space="preserve">investor.uber.com</w:t>
        </w:r>
      </w:hyperlink>
      <w:r>
        <w:t xml:space="preserve">)</w:t>
      </w:r>
    </w:p>
    <w:p>
      <w:pPr>
        <w:pStyle w:val="BodyText"/>
      </w:pPr>
      <w:r>
        <w:t xml:space="preserve">The desired outcome is straightforward:</w:t>
      </w:r>
      <w:r>
        <w:t xml:space="preserve"> </w:t>
      </w:r>
      <w:r>
        <w:rPr>
          <w:b/>
          <w:bCs/>
        </w:rPr>
        <w:t xml:space="preserve">continued Delivery booking growth above company growth, paired with ongoing segment-profit expansion.</w:t>
      </w:r>
      <w:r>
        <w:t xml:space="preserve"> </w:t>
      </w:r>
      <w:r>
        <w:t xml:space="preserve">A material slowdown in Delivery, or evidence that international competition is raising incentives and lowering profitability, would be a concern.</w:t>
      </w:r>
    </w:p>
    <w:bookmarkEnd w:id="21"/>
    <w:bookmarkStart w:id="22" w:name="X42a8a09933e302c592911f64d4527ea10dfab8c"/>
    <w:p>
      <w:pPr>
        <w:pStyle w:val="Heading3"/>
      </w:pPr>
      <w:r>
        <w:t xml:space="preserve">4. Margin conversion and free cash flow</w:t>
      </w:r>
    </w:p>
    <w:p>
      <w:pPr>
        <w:pStyle w:val="FirstParagraph"/>
      </w:pPr>
      <w:r>
        <w:t xml:space="preserve">Uber has shifted its reported emphasis toward Non-GAAP operating income and Non-GAAP EPS, although it continues to provide Adjusted EBITDA. Investors should monitor all three measures, but the core test is whether incremental Gross Bookings continue to convert into higher operating income and cash generation.</w:t>
      </w:r>
    </w:p>
    <w:p>
      <w:pPr>
        <w:pStyle w:val="BodyText"/>
      </w:pPr>
      <w:r>
        <w:t xml:space="preserve">Important watch items:</w:t>
      </w:r>
    </w:p>
    <w:p>
      <w:pPr>
        <w:pStyle w:val="Compact"/>
        <w:numPr>
          <w:ilvl w:val="0"/>
          <w:numId w:val="1003"/>
        </w:numPr>
      </w:pPr>
      <w:r>
        <w:t xml:space="preserve">Adjusted EBITDA relative to the</w:t>
      </w:r>
      <w:r>
        <w:t xml:space="preserve"> </w:t>
      </w:r>
      <m:oMath>
        <m:r>
          <m:t>2.70</m:t>
        </m:r>
        <m:r>
          <m:rPr>
            <m:sty m:val="p"/>
          </m:rPr>
          <m:t>–</m:t>
        </m:r>
      </m:oMath>
      <w:r>
        <w:t xml:space="preserve">2.80 billion guide;</w:t>
      </w:r>
    </w:p>
    <w:p>
      <w:pPr>
        <w:pStyle w:val="Compact"/>
        <w:numPr>
          <w:ilvl w:val="0"/>
          <w:numId w:val="1003"/>
        </w:numPr>
      </w:pPr>
      <w:r>
        <w:t xml:space="preserve">Non-GAAP EPS relative to the</w:t>
      </w:r>
      <w:r>
        <w:t xml:space="preserve"> </w:t>
      </w:r>
      <m:oMath>
        <m:r>
          <m:t>0.78</m:t>
        </m:r>
        <m:r>
          <m:rPr>
            <m:sty m:val="p"/>
          </m:rPr>
          <m:t>–</m:t>
        </m:r>
      </m:oMath>
      <w:r>
        <w:t xml:space="preserve">0.82 guide;</w:t>
      </w:r>
    </w:p>
    <w:p>
      <w:pPr>
        <w:pStyle w:val="Compact"/>
        <w:numPr>
          <w:ilvl w:val="0"/>
          <w:numId w:val="1003"/>
        </w:numPr>
      </w:pPr>
      <w:r>
        <w:t xml:space="preserve">Non-GAAP operating-income margin and segment-profit trends;</w:t>
      </w:r>
    </w:p>
    <w:p>
      <w:pPr>
        <w:pStyle w:val="Compact"/>
        <w:numPr>
          <w:ilvl w:val="0"/>
          <w:numId w:val="1003"/>
        </w:numPr>
      </w:pPr>
      <w:r>
        <w:t xml:space="preserve">Free cash flow after buybacks, strategic investments, and capital spending;</w:t>
      </w:r>
    </w:p>
    <w:p>
      <w:pPr>
        <w:pStyle w:val="Compact"/>
        <w:numPr>
          <w:ilvl w:val="0"/>
          <w:numId w:val="1003"/>
        </w:numPr>
      </w:pPr>
      <w:r>
        <w:t xml:space="preserve">Whether AI-related productivity gains offset higher product and AV investment.</w:t>
      </w:r>
    </w:p>
    <w:p>
      <w:pPr>
        <w:pStyle w:val="FirstParagraph"/>
      </w:pPr>
      <w:r>
        <w:t xml:space="preserve">GAAP EPS could again be volatile because of revaluations of Uber’s equity investments. In Q1, a $1.5 billion pre-tax investment-revaluation headwind reduced GAAP net income to $263 million, even as Non-GAAP EPS rose 44%. The market should therefore treat recurring operating metrics and cash flow as more informative than a GAAP-EPS headline alone. (</w:t>
      </w:r>
      <w:hyperlink r:id="rId14">
        <w:r>
          <w:rPr>
            <w:rStyle w:val="Hyperlink"/>
          </w:rPr>
          <w:t xml:space="preserve">investor.uber.com</w:t>
        </w:r>
      </w:hyperlink>
      <w:r>
        <w:t xml:space="preserve">)</w:t>
      </w:r>
    </w:p>
    <w:bookmarkEnd w:id="22"/>
    <w:bookmarkEnd w:id="23"/>
    <w:bookmarkStart w:id="26" w:name="X57c74033109bdd715259c7798b6cfcc9a0cd869"/>
    <w:p>
      <w:pPr>
        <w:pStyle w:val="Heading2"/>
      </w:pPr>
      <w:r>
        <w:t xml:space="preserve">The major call topic: Delivery Hero changes the capital-allocation story</w:t>
      </w:r>
    </w:p>
    <w:p>
      <w:pPr>
        <w:pStyle w:val="FirstParagraph"/>
      </w:pPr>
      <w:r>
        <w:t xml:space="preserve">On July 16, Uber agreed to acquire Delivery Hero through a cash offer of</w:t>
      </w:r>
      <w:r>
        <w:t xml:space="preserve"> </w:t>
      </w:r>
      <w:r>
        <w:rPr>
          <w:b/>
          <w:bCs/>
        </w:rPr>
        <w:t xml:space="preserve">€41.50 per share</w:t>
      </w:r>
      <w:r>
        <w:t xml:space="preserve">. The transaction is expected to close in the</w:t>
      </w:r>
      <w:r>
        <w:t xml:space="preserve"> </w:t>
      </w:r>
      <w:r>
        <w:rPr>
          <w:b/>
          <w:bCs/>
        </w:rPr>
        <w:t xml:space="preserve">second half of 2027</w:t>
      </w:r>
      <w:r>
        <w:t xml:space="preserve">, subject to regulatory approvals and tender conditions. Uber expects to finance it primarily with cash and debt, and arranged</w:t>
      </w:r>
      <w:r>
        <w:t xml:space="preserve"> </w:t>
      </w:r>
      <w:r>
        <w:rPr>
          <w:b/>
          <w:bCs/>
        </w:rPr>
        <w:t xml:space="preserve">€14.2 billion</w:t>
      </w:r>
      <w:r>
        <w:t xml:space="preserve"> </w:t>
      </w:r>
      <w:r>
        <w:t xml:space="preserve">in senior unsecured bridge-loan commitments. (</w:t>
      </w:r>
      <w:hyperlink r:id="rId24">
        <w:r>
          <w:rPr>
            <w:rStyle w:val="Hyperlink"/>
          </w:rPr>
          <w:t xml:space="preserve">sec.gov</w:t>
        </w:r>
      </w:hyperlink>
      <w:r>
        <w:t xml:space="preserve">)</w:t>
      </w:r>
    </w:p>
    <w:p>
      <w:pPr>
        <w:pStyle w:val="BodyText"/>
      </w:pPr>
      <w:r>
        <w:t xml:space="preserve">This transaction will not affect Q2 reported operating results, but it is likely to dominate the Q&amp;A because it reframes Uber’s balance-sheet and capital-return profile.</w:t>
      </w:r>
    </w:p>
    <w:bookmarkStart w:id="25" w:name="what-investors-need-to-hear"/>
    <w:p>
      <w:pPr>
        <w:pStyle w:val="Heading3"/>
      </w:pPr>
      <w:r>
        <w:t xml:space="preserve">What investors need to hear</w:t>
      </w:r>
    </w:p>
    <w:p>
      <w:pPr>
        <w:numPr>
          <w:ilvl w:val="0"/>
          <w:numId w:val="1004"/>
        </w:numPr>
      </w:pPr>
      <w:r>
        <w:rPr>
          <w:b/>
          <w:bCs/>
        </w:rPr>
        <w:t xml:space="preserve">Strategic logic and financial return framework.</w:t>
      </w:r>
      <w:r>
        <w:br/>
      </w:r>
      <w:r>
        <w:t xml:space="preserve">Management should articulate why the asset is better owned than competed against, what operational synergies are realistic, and the expected path to accretion.</w:t>
      </w:r>
    </w:p>
    <w:p>
      <w:pPr>
        <w:numPr>
          <w:ilvl w:val="0"/>
          <w:numId w:val="1004"/>
        </w:numPr>
      </w:pPr>
      <w:r>
        <w:rPr>
          <w:b/>
          <w:bCs/>
        </w:rPr>
        <w:t xml:space="preserve">Financing and leverage discipline.</w:t>
      </w:r>
      <w:r>
        <w:br/>
      </w:r>
      <w:r>
        <w:t xml:space="preserve">The relevant issue is not immediate liquidity—no bridge borrowing had been drawn as of the July 16 filing—but the eventual mix of cash, permanent debt, and potential implications for ratings, interest expense, and buybacks. (</w:t>
      </w:r>
      <w:hyperlink r:id="rId24">
        <w:r>
          <w:rPr>
            <w:rStyle w:val="Hyperlink"/>
          </w:rPr>
          <w:t xml:space="preserve">sec.gov</w:t>
        </w:r>
      </w:hyperlink>
      <w:r>
        <w:t xml:space="preserve">)</w:t>
      </w:r>
    </w:p>
    <w:p>
      <w:pPr>
        <w:numPr>
          <w:ilvl w:val="0"/>
          <w:numId w:val="1004"/>
        </w:numPr>
      </w:pPr>
      <w:r>
        <w:rPr>
          <w:b/>
          <w:bCs/>
        </w:rPr>
        <w:t xml:space="preserve">Regulatory risk.</w:t>
      </w:r>
      <w:r>
        <w:br/>
      </w:r>
      <w:r>
        <w:t xml:space="preserve">The deal requires competition and financial-services approvals, with a formal failure-to-close risk. Uber’s filing explicitly identifies approval delays, remedies, execution difficulties, and integration risks as material uncertainties. (</w:t>
      </w:r>
      <w:hyperlink r:id="rId24">
        <w:r>
          <w:rPr>
            <w:rStyle w:val="Hyperlink"/>
          </w:rPr>
          <w:t xml:space="preserve">sec.gov</w:t>
        </w:r>
      </w:hyperlink>
      <w:r>
        <w:t xml:space="preserve">)</w:t>
      </w:r>
    </w:p>
    <w:p>
      <w:pPr>
        <w:numPr>
          <w:ilvl w:val="0"/>
          <w:numId w:val="1004"/>
        </w:numPr>
      </w:pPr>
      <w:r>
        <w:rPr>
          <w:b/>
          <w:bCs/>
        </w:rPr>
        <w:t xml:space="preserve">Capital-allocation implications.</w:t>
      </w:r>
      <w:r>
        <w:br/>
      </w:r>
      <w:r>
        <w:t xml:space="preserve">Q1 included $3.0 billion of share repurchases. Investors should ask whether the pace of repurchases will change between now and a prospective 2027 closing, and whether AV investments and the acquisition can coexist with continued shareholder returns. (</w:t>
      </w:r>
      <w:hyperlink r:id="rId14">
        <w:r>
          <w:rPr>
            <w:rStyle w:val="Hyperlink"/>
          </w:rPr>
          <w:t xml:space="preserve">investor.uber.com</w:t>
        </w:r>
      </w:hyperlink>
      <w:r>
        <w:t xml:space="preserve">)</w:t>
      </w:r>
    </w:p>
    <w:bookmarkEnd w:id="25"/>
    <w:bookmarkEnd w:id="26"/>
    <w:bookmarkStart w:id="28" w:name="Xf6856def4c57b8d11e823b05c8c95fec327ae5b"/>
    <w:p>
      <w:pPr>
        <w:pStyle w:val="Heading2"/>
      </w:pPr>
      <w:r>
        <w:t xml:space="preserve">AVs: strategically important, financially secondary—until they are not</w:t>
      </w:r>
    </w:p>
    <w:p>
      <w:pPr>
        <w:pStyle w:val="FirstParagraph"/>
      </w:pPr>
      <w:r>
        <w:t xml:space="preserve">Uber’s partner-led AV approach offers long-term upside: Uber can aim to own demand, marketplace liquidity, fleet utilization, and complementary infrastructure without bearing the full cost of developing an autonomous-driving stack. But AVs have become a near-term valuation issue as investors assess whether autonomous networks will complement Uber’s marketplace or eventually compete directly for riders.</w:t>
      </w:r>
    </w:p>
    <w:p>
      <w:pPr>
        <w:pStyle w:val="BodyText"/>
      </w:pPr>
      <w:r>
        <w:t xml:space="preserve">The recent Waymo development adds urgency. Waymo has notified Uber that it plans to launch its own app in Austin and Atlanta in January 2028, ending the exclusivity arrangement while continuing the existing deployment on Uber for the time being. That potentially allows Uber to add other AV providers in those cities, but it also underscores that leading AV companies may increasingly control their own customer relationships. (</w:t>
      </w:r>
      <w:hyperlink r:id="rId27">
        <w:r>
          <w:rPr>
            <w:rStyle w:val="Hyperlink"/>
          </w:rPr>
          <w:t xml:space="preserve">news.bloomberglaw.com</w:t>
        </w:r>
      </w:hyperlink>
      <w:r>
        <w:t xml:space="preserve">)</w:t>
      </w:r>
    </w:p>
    <w:p>
      <w:pPr>
        <w:pStyle w:val="BodyText"/>
      </w:pPr>
      <w:r>
        <w:rPr>
          <w:b/>
          <w:bCs/>
        </w:rPr>
        <w:t xml:space="preserve">What matters Wednesday:</w:t>
      </w:r>
      <w:r>
        <w:t xml:space="preserve"> </w:t>
      </w:r>
      <w:r>
        <w:t xml:space="preserve">management’s evidence that AV partnerships are additive to total category demand and Uber’s marketplace economics; its ability to diversify partners; and the expected level of AV-related investment, including fleet operations, charging, financing, insurance, and incentives. Investors should be wary of an AV narrative that is strategically expansive but financially vague.</w:t>
      </w:r>
    </w:p>
    <w:bookmarkEnd w:id="28"/>
    <w:bookmarkStart w:id="31" w:name="potential-upside-and-downside-scenarios"/>
    <w:p>
      <w:pPr>
        <w:pStyle w:val="Heading2"/>
      </w:pPr>
      <w:r>
        <w:t xml:space="preserve">Potential upside and downside scenarios</w:t>
      </w:r>
    </w:p>
    <w:bookmarkStart w:id="29" w:name="bull-case-a-catalyst-quarter"/>
    <w:p>
      <w:pPr>
        <w:pStyle w:val="Heading3"/>
      </w:pPr>
      <w:r>
        <w:t xml:space="preserve">Bull case: a catalyst quarter</w:t>
      </w:r>
    </w:p>
    <w:p>
      <w:pPr>
        <w:pStyle w:val="FirstParagraph"/>
      </w:pPr>
      <w:r>
        <w:t xml:space="preserve">A constructive result would include:</w:t>
      </w:r>
    </w:p>
    <w:p>
      <w:pPr>
        <w:pStyle w:val="Compact"/>
        <w:numPr>
          <w:ilvl w:val="0"/>
          <w:numId w:val="1005"/>
        </w:numPr>
      </w:pPr>
      <w:r>
        <w:t xml:space="preserve">Gross Bookings and EBITDA above the high end of guidance;</w:t>
      </w:r>
    </w:p>
    <w:p>
      <w:pPr>
        <w:pStyle w:val="Compact"/>
        <w:numPr>
          <w:ilvl w:val="0"/>
          <w:numId w:val="1005"/>
        </w:numPr>
      </w:pPr>
      <w:r>
        <w:t xml:space="preserve">U.S. Mobility acceleration driven by affordability and insurance savings;</w:t>
      </w:r>
    </w:p>
    <w:p>
      <w:pPr>
        <w:pStyle w:val="Compact"/>
        <w:numPr>
          <w:ilvl w:val="0"/>
          <w:numId w:val="1005"/>
        </w:numPr>
      </w:pPr>
      <w:r>
        <w:t xml:space="preserve">Delivery growth remaining above company growth with margin expansion;</w:t>
      </w:r>
    </w:p>
    <w:p>
      <w:pPr>
        <w:pStyle w:val="Compact"/>
        <w:numPr>
          <w:ilvl w:val="0"/>
          <w:numId w:val="1005"/>
        </w:numPr>
      </w:pPr>
      <w:r>
        <w:t xml:space="preserve">Strong MAPC and trip growth, demonstrating healthy demand rather than price-led booking inflation;</w:t>
      </w:r>
    </w:p>
    <w:p>
      <w:pPr>
        <w:pStyle w:val="Compact"/>
        <w:numPr>
          <w:ilvl w:val="0"/>
          <w:numId w:val="1005"/>
        </w:numPr>
      </w:pPr>
      <w:r>
        <w:t xml:space="preserve">Q3 outlook that preserves the growth-and-profitability algorithm;</w:t>
      </w:r>
    </w:p>
    <w:p>
      <w:pPr>
        <w:pStyle w:val="Compact"/>
        <w:numPr>
          <w:ilvl w:val="0"/>
          <w:numId w:val="1005"/>
        </w:numPr>
      </w:pPr>
      <w:r>
        <w:t xml:space="preserve">Clear Delivery Hero financing, integration, and buyback messaging;</w:t>
      </w:r>
    </w:p>
    <w:p>
      <w:pPr>
        <w:pStyle w:val="Compact"/>
        <w:numPr>
          <w:ilvl w:val="0"/>
          <w:numId w:val="1005"/>
        </w:numPr>
      </w:pPr>
      <w:r>
        <w:t xml:space="preserve">Credible evidence that AV partnerships enhance platform economics rather than disintermediate Uber.</w:t>
      </w:r>
    </w:p>
    <w:bookmarkEnd w:id="29"/>
    <w:bookmarkStart w:id="30" w:name="bear-case-good-quarter-weaker-narrative"/>
    <w:p>
      <w:pPr>
        <w:pStyle w:val="Heading3"/>
      </w:pPr>
      <w:r>
        <w:t xml:space="preserve">Bear case: good quarter, weaker narrative</w:t>
      </w:r>
    </w:p>
    <w:p>
      <w:pPr>
        <w:pStyle w:val="FirstParagraph"/>
      </w:pPr>
      <w:r>
        <w:t xml:space="preserve">The risk is not necessarily an outright Q2 miss. It is a report that meets the guide but reveals:</w:t>
      </w:r>
    </w:p>
    <w:p>
      <w:pPr>
        <w:pStyle w:val="Compact"/>
        <w:numPr>
          <w:ilvl w:val="0"/>
          <w:numId w:val="1006"/>
        </w:numPr>
      </w:pPr>
      <w:r>
        <w:t xml:space="preserve">decelerating trips or consumer growth;</w:t>
      </w:r>
    </w:p>
    <w:p>
      <w:pPr>
        <w:pStyle w:val="Compact"/>
        <w:numPr>
          <w:ilvl w:val="0"/>
          <w:numId w:val="1006"/>
        </w:numPr>
      </w:pPr>
      <w:r>
        <w:t xml:space="preserve">increasing incentives to defend Delivery or U.S. Mobility;</w:t>
      </w:r>
    </w:p>
    <w:p>
      <w:pPr>
        <w:pStyle w:val="Compact"/>
        <w:numPr>
          <w:ilvl w:val="0"/>
          <w:numId w:val="1006"/>
        </w:numPr>
      </w:pPr>
      <w:r>
        <w:t xml:space="preserve">lower-than-expected conversion of insurance savings into profit;</w:t>
      </w:r>
    </w:p>
    <w:p>
      <w:pPr>
        <w:pStyle w:val="Compact"/>
        <w:numPr>
          <w:ilvl w:val="0"/>
          <w:numId w:val="1006"/>
        </w:numPr>
      </w:pPr>
      <w:r>
        <w:t xml:space="preserve">a more cautious Q3 outlook;</w:t>
      </w:r>
    </w:p>
    <w:p>
      <w:pPr>
        <w:pStyle w:val="Compact"/>
        <w:numPr>
          <w:ilvl w:val="0"/>
          <w:numId w:val="1006"/>
        </w:numPr>
      </w:pPr>
      <w:r>
        <w:t xml:space="preserve">rising AV or AI investment without quantifiable return expectations;</w:t>
      </w:r>
    </w:p>
    <w:p>
      <w:pPr>
        <w:pStyle w:val="Compact"/>
        <w:numPr>
          <w:ilvl w:val="0"/>
          <w:numId w:val="1006"/>
        </w:numPr>
      </w:pPr>
      <w:r>
        <w:t xml:space="preserve">ambiguity around Delivery Hero financing, leverage, regulatory remedies, or capital returns.</w:t>
      </w:r>
    </w:p>
    <w:bookmarkEnd w:id="30"/>
    <w:bookmarkEnd w:id="31"/>
    <w:bookmarkStart w:id="32" w:name="bottom-line"/>
    <w:p>
      <w:pPr>
        <w:pStyle w:val="Heading2"/>
      </w:pPr>
      <w:r>
        <w:t xml:space="preserve">Bottom line</w:t>
      </w:r>
    </w:p>
    <w:p>
      <w:pPr>
        <w:pStyle w:val="FirstParagraph"/>
      </w:pPr>
      <w:r>
        <w:t xml:space="preserve">Uber has earned a high-quality earnings profile: broad-based bookings growth, expanding profitability, and substantial free cash flow. For Q2, the operative hurdle is at least the</w:t>
      </w:r>
      <w:r>
        <w:t xml:space="preserve"> </w:t>
      </w:r>
      <w:r>
        <w:rPr>
          <w:b/>
          <w:bCs/>
        </w:rPr>
        <w:t xml:space="preserve">high end of the</w:t>
      </w:r>
      <w:r>
        <w:rPr>
          <w:b/>
          <w:bCs/>
        </w:rPr>
        <w:t xml:space="preserve"> </w:t>
      </w:r>
      <m:oMath>
        <m:r>
          <m:t>56.25</m:t>
        </m:r>
        <m:r>
          <m:rPr>
            <m:sty m:val="p"/>
          </m:rPr>
          <m:t>–</m:t>
        </m:r>
      </m:oMath>
      <w:r>
        <w:rPr>
          <w:b/>
          <w:bCs/>
        </w:rPr>
        <w:t xml:space="preserve">57.75 billion Gross Bookings range and the</w:t>
      </w:r>
      <w:r>
        <w:rPr>
          <w:b/>
          <w:bCs/>
        </w:rPr>
        <w:t xml:space="preserve"> </w:t>
      </w:r>
      <m:oMath>
        <m:r>
          <m:t>2.70</m:t>
        </m:r>
        <m:r>
          <m:rPr>
            <m:sty m:val="p"/>
          </m:rPr>
          <m:t>–</m:t>
        </m:r>
      </m:oMath>
      <w:r>
        <w:rPr>
          <w:b/>
          <w:bCs/>
        </w:rPr>
        <w:t xml:space="preserve">2.80 billion EBITDA range</w:t>
      </w:r>
      <w:r>
        <w:t xml:space="preserve">, followed by a Q3 outlook that preserves confidence in durable growth and margin expansion. (</w:t>
      </w:r>
      <w:hyperlink r:id="rId11">
        <w:r>
          <w:rPr>
            <w:rStyle w:val="Hyperlink"/>
          </w:rPr>
          <w:t xml:space="preserve">investor.uber.com</w:t>
        </w:r>
      </w:hyperlink>
      <w:r>
        <w:t xml:space="preserve">)</w:t>
      </w:r>
    </w:p>
    <w:p>
      <w:pPr>
        <w:pStyle w:val="BodyText"/>
      </w:pPr>
      <w:r>
        <w:t xml:space="preserve">The report’s most consequential takeaway, however, will be strategic rather than historical. Investors need confirmation that Uber can continue compounding its core Mobility and Delivery platform while keeping the Delivery Hero transaction and AV ecosystem</w:t>
      </w:r>
      <w:r>
        <w:t xml:space="preserve"> </w:t>
      </w:r>
      <w:r>
        <w:rPr>
          <w:b/>
          <w:bCs/>
        </w:rPr>
        <w:t xml:space="preserve">capital-disciplined, accretive, and compatible with ongoing shareholder returns</w:t>
      </w:r>
      <w:r>
        <w:t xml:space="preserve">.</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uber.com/news-events/news/press-release-details/2026/Uber-Announces-Date-of-Second-Quarter-2026-Results-Conference-Call/default.aspx?utm_source=openai" TargetMode="External" /><Relationship Type="http://schemas.openxmlformats.org/officeDocument/2006/relationships/hyperlink" Id="rId11" Target="https://investor.uber.com/news-events/news/press-release-details/2026/Uber-Announces-Results-for-First-Quarter-2026/default.aspx?ftag=YHF4eb9d17" TargetMode="External" /><Relationship Type="http://schemas.openxmlformats.org/officeDocument/2006/relationships/hyperlink" Id="rId14" Target="https://investor.uber.com/news-events/news/press-release-details/2026/Uber-Announces-Results-for-First-Quarter-2026/default.aspx?ftag=YHF4eb9d17&amp;utm_source=openai" TargetMode="External" /><Relationship Type="http://schemas.openxmlformats.org/officeDocument/2006/relationships/hyperlink" Id="rId27" Target="https://news.bloomberglaw.com/private-equity/waymo-plans-end-of-uber-robotaxi-tie-up-stepping-up-rivalry-1?utm_source=openai" TargetMode="External" /><Relationship Type="http://schemas.openxmlformats.org/officeDocument/2006/relationships/hyperlink" Id="rId24" Target="https://www.sec.gov/Archives/edgar/data/1543151/000155278126000382/e26302_uber-8k.htm"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uber.com/news-events/news/press-release-details/2026/Uber-Announces-Date-of-Second-Quarter-2026-Results-Conference-Call/default.aspx?utm_source=openai" TargetMode="External" /><Relationship Type="http://schemas.openxmlformats.org/officeDocument/2006/relationships/hyperlink" Id="rId11" Target="https://investor.uber.com/news-events/news/press-release-details/2026/Uber-Announces-Results-for-First-Quarter-2026/default.aspx?ftag=YHF4eb9d17" TargetMode="External" /><Relationship Type="http://schemas.openxmlformats.org/officeDocument/2006/relationships/hyperlink" Id="rId14" Target="https://investor.uber.com/news-events/news/press-release-details/2026/Uber-Announces-Results-for-First-Quarter-2026/default.aspx?ftag=YHF4eb9d17&amp;utm_source=openai" TargetMode="External" /><Relationship Type="http://schemas.openxmlformats.org/officeDocument/2006/relationships/hyperlink" Id="rId27" Target="https://news.bloomberglaw.com/private-equity/waymo-plans-end-of-uber-robotaxi-tie-up-stepping-up-rivalry-1?utm_source=openai" TargetMode="External" /><Relationship Type="http://schemas.openxmlformats.org/officeDocument/2006/relationships/hyperlink" Id="rId24" Target="https://www.sec.gov/Archives/edgar/data/1543151/000155278126000382/e26302_uber-8k.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2026-08-05T00:03:14Z</dcterms:created>
  <dcterms:modified xsi:type="dcterms:W3CDTF">2026-08-05T00:03:14Z</dcterms:modified>
</cp:coreProperties>
</file>

<file path=docProps/custom.xml><?xml version="1.0" encoding="utf-8"?>
<Properties xmlns="http://schemas.openxmlformats.org/officeDocument/2006/custom-properties" xmlns:vt="http://schemas.openxmlformats.org/officeDocument/2006/docPropsVTypes"/>
</file>