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Uber Technologies, Inc. (UBER) — Q2 2026 Earnings Preview</w:t>
      </w:r>
    </w:p>
    <w:p>
      <w:r>
        <w:rPr>
          <w:rFonts w:ascii="Calibri" w:hAnsi="Calibri"/>
          <w:b/>
          <w:color w:val="525866"/>
          <w:sz w:val="22"/>
        </w:rPr>
        <w:t xml:space="preserve">Ticker: </w:t>
      </w:r>
      <w:r>
        <w:rPr>
          <w:rFonts w:ascii="Calibri" w:hAnsi="Calibri"/>
          <w:color w:val="525866"/>
          <w:sz w:val="22"/>
        </w:rPr>
        <w:t xml:space="preserve">UBER  </w:t>
      </w:r>
      <w:r>
        <w:rPr>
          <w:rFonts w:ascii="Calibri" w:hAnsi="Calibri"/>
          <w:b/>
          <w:color w:val="525866"/>
          <w:sz w:val="22"/>
        </w:rPr>
        <w:t xml:space="preserve">  |  Upcoming Earnings: </w:t>
      </w:r>
      <w:r>
        <w:rPr>
          <w:rFonts w:ascii="Calibri" w:hAnsi="Calibri"/>
          <w:color w:val="525866"/>
          <w:sz w:val="22"/>
        </w:rPr>
        <w:t xml:space="preserve">Q2 2026 (date TBD; conference call announced July 13, 2026)  </w:t>
      </w:r>
      <w:r>
        <w:rPr>
          <w:rFonts w:ascii="Calibri" w:hAnsi="Calibri"/>
          <w:b/>
          <w:color w:val="525866"/>
          <w:sz w:val="22"/>
        </w:rPr>
        <w:t xml:space="preserve">  |  Last Earnings: </w:t>
      </w:r>
      <w:r>
        <w:rPr>
          <w:rFonts w:ascii="Calibri" w:hAnsi="Calibri"/>
          <w:color w:val="525866"/>
          <w:sz w:val="22"/>
        </w:rPr>
        <w:t xml:space="preserve">May 6, 2026 (Q1 2026)  </w:t>
      </w:r>
      <w:r>
        <w:rPr>
          <w:rFonts w:ascii="Calibri" w:hAnsi="Calibri"/>
          <w:b/>
          <w:color w:val="525866"/>
          <w:sz w:val="22"/>
        </w:rPr>
        <w:t xml:space="preserve">  |  Prepared: </w:t>
      </w:r>
      <w:r>
        <w:rPr>
          <w:rFonts w:ascii="Calibri" w:hAnsi="Calibri"/>
          <w:color w:val="525866"/>
          <w:sz w:val="22"/>
        </w:rPr>
        <w:t>August 4, 2026</w:t>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The setup into Q2 2026 is constructive — consensus gross bookings of ~$57.2B implies ~22% YoY growth, squarely within the 18–22% guidance range management issued at Q1, and the biggest swing factor is whether the Delivery Hero acquisition announcement on July 16 reshapes the narrative from organic execution to M&amp;A integration risk.</w:t>
      </w:r>
    </w:p>
    <w:p>
      <w:r>
        <w:rPr>
          <w:rFonts w:ascii="Calibri" w:hAnsi="Calibri"/>
          <w:color w:val="525866"/>
          <w:sz w:val="22"/>
        </w:rPr>
        <w:t xml:space="preserve">The bar heading into Q2 is calibrated but not stretched: consensus gross bookings of ~$57.2B sits at the midpoint of the guided 18–22% growth range, and adjusted EBITDA consensus of ~$2.76B implies roughly 30% YoY growth — a high bar that management effectively pre-validated by guiding above Street expectations at Q1. Management's tone has shifted decisively more confident since the Q4 2025 call, with the Q1 print and Bernstein conference both reinforcing conviction in U.S. Mobility acceleration driven by insurance cost tailwinds, Uber One surpassing 50 million members, and sparse-market expansion running at 2x the pace of dense markets. Estimate revisions have tracked guidance closely, with gross bookings and adjusted EBITDA consensus moving modestly higher since the Q1 print, suggesting the Street has largely absorbed the positive signals without over-shooting. The stock has underperformed both the XLC and S&amp;P 500 since the Q1 earnings date (UBER -9.1% vs. XLC -4.5% and SPY +5.1%), meaning the stock has not priced in a beat — a setup that historically creates asymmetric upside if execution holds. The single biggest wildcard is the </w:t>
      </w:r>
      <w:r>
        <w:rPr>
          <w:rFonts w:ascii="Calibri" w:hAnsi="Calibri"/>
          <w:b/>
          <w:color w:val="525866"/>
          <w:sz w:val="22"/>
        </w:rPr>
        <w:t>Delivery Hero acquisition</w:t>
      </w:r>
      <w:r>
        <w:rPr>
          <w:rFonts w:ascii="Calibri" w:hAnsi="Calibri"/>
          <w:color w:val="525866"/>
          <w:sz w:val="22"/>
        </w:rPr>
        <w:t xml:space="preserve"> announced July 16 at €41.50/share (~$14.8B equity value): while management framed it as EPS-accretive upon close and strategically compelling, the market will scrutinize leverage implications, regulatory risk (closing expected H2 2027), and whether the deal signals a pivot away from the buyback-driven capital return story that has been a key bull thesis.</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is a moderate bar — gross bookings at ~$57.2B and adjusted EBITDA at ~$2.76B both sit within management's guided range, leaving room for an upside surprise if U.S. Mobility acceleration and Uber One engagement continue to outperform. </w:t>
      </w:r>
      <w:r>
        <w:rPr>
          <w:rFonts w:ascii="Calibri" w:hAnsi="Calibri"/>
          <w:b/>
          <w:color w:val="525866"/>
          <w:sz w:val="22"/>
        </w:rPr>
        <w:t>Adjusted EBITDA is the bigger swing factor</w:t>
      </w:r>
      <w:r>
        <w:rPr>
          <w:rFonts w:ascii="Calibri" w:hAnsi="Calibri"/>
          <w:color w:val="525866"/>
          <w:sz w:val="22"/>
        </w:rPr>
        <w:t xml:space="preserve"> given the operating leverage story and management's explicit commitment to annual margin expansion.</w:t>
      </w:r>
    </w:p>
    <w:p>
      <w:pPr>
        <w:pStyle w:val="Heading3"/>
      </w:pPr>
      <w:r>
        <w:rPr>
          <w:rFonts w:ascii="Calibri" w:hAnsi="Calibri"/>
          <w:b/>
          <w:color w:val="3B4259"/>
          <w:sz w:val="24"/>
        </w:rPr>
        <w:t>Table 1 — Current Quarter Snapshot (Q2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 (Last Quarter)</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Q2 2026 Guidance (Mgmt)</w:t>
            </w:r>
          </w:p>
        </w:tc>
        <w:tc>
          <w:tcPr>
            <w:tcW w:type="dxa" w:w="1234"/>
            <w:shd w:val="clear" w:color="auto" w:fill="3B4259"/>
          </w:tcPr>
          <w:p>
            <w:r>
              <w:rPr>
                <w:rFonts w:ascii="Calibri" w:hAnsi="Calibri"/>
                <w:b/>
                <w:color w:val="FFFFFF"/>
                <w:sz w:val="22"/>
              </w:rPr>
              <w:t>Consensus vs. Guidance Midpoint</w:t>
            </w:r>
          </w:p>
        </w:tc>
      </w:tr>
      <w:tr>
        <w:tc>
          <w:tcPr>
            <w:tcW w:type="dxa" w:w="1234"/>
          </w:tcPr>
          <w:p>
            <w:r>
              <w:rPr>
                <w:rFonts w:ascii="Calibri" w:hAnsi="Calibri"/>
                <w:sz w:val="22"/>
              </w:rPr>
              <w:t>Gross Bookings ($B)</w:t>
            </w:r>
          </w:p>
        </w:tc>
        <w:tc>
          <w:tcPr>
            <w:tcW w:type="dxa" w:w="1234"/>
          </w:tcPr>
          <w:p>
            <w:r>
              <w:rPr>
                <w:rFonts w:ascii="Calibri" w:hAnsi="Calibri"/>
                <w:sz w:val="22"/>
              </w:rPr>
              <w:t>$53.72B</w:t>
            </w:r>
          </w:p>
        </w:tc>
        <w:tc>
          <w:tcPr>
            <w:tcW w:type="dxa" w:w="1234"/>
          </w:tcPr>
          <w:p>
            <w:r>
              <w:rPr>
                <w:rFonts w:ascii="Calibri" w:hAnsi="Calibri"/>
                <w:sz w:val="22"/>
              </w:rPr>
              <w:t>$46.76B</w:t>
            </w:r>
          </w:p>
        </w:tc>
        <w:tc>
          <w:tcPr>
            <w:tcW w:type="dxa" w:w="1234"/>
          </w:tcPr>
          <w:p>
            <w:r>
              <w:rPr>
                <w:rFonts w:ascii="Calibri" w:hAnsi="Calibri"/>
                <w:sz w:val="22"/>
              </w:rPr>
              <w:t>$57.24B</w:t>
            </w:r>
          </w:p>
        </w:tc>
        <w:tc>
          <w:tcPr>
            <w:tcW w:type="dxa" w:w="1234"/>
          </w:tcPr>
          <w:p>
            <w:r>
              <w:rPr>
                <w:rFonts w:ascii="Calibri" w:hAnsi="Calibri"/>
                <w:sz w:val="22"/>
              </w:rPr>
              <w:t>+22.4%</w:t>
            </w:r>
          </w:p>
        </w:tc>
        <w:tc>
          <w:tcPr>
            <w:tcW w:type="dxa" w:w="1234"/>
          </w:tcPr>
          <w:p>
            <w:r>
              <w:rPr>
                <w:rFonts w:ascii="Calibri" w:hAnsi="Calibri"/>
                <w:sz w:val="22"/>
              </w:rPr>
              <w:t>18–22% YoY growth (midpoint ~$55.5B)</w:t>
            </w:r>
          </w:p>
        </w:tc>
        <w:tc>
          <w:tcPr>
            <w:tcW w:type="dxa" w:w="1234"/>
          </w:tcPr>
          <w:p>
            <w:r>
              <w:rPr>
                <w:rFonts w:ascii="Calibri" w:hAnsi="Calibri"/>
                <w:sz w:val="22"/>
              </w:rPr>
              <w:t>+3.1% above midpoint</w:t>
            </w:r>
          </w:p>
        </w:tc>
      </w:tr>
      <w:tr>
        <w:tc>
          <w:tcPr>
            <w:tcW w:type="dxa" w:w="1234"/>
          </w:tcPr>
          <w:p>
            <w:r>
              <w:rPr>
                <w:rFonts w:ascii="Calibri" w:hAnsi="Calibri"/>
                <w:sz w:val="22"/>
              </w:rPr>
              <w:t>Revenue ($B)</w:t>
            </w:r>
          </w:p>
        </w:tc>
        <w:tc>
          <w:tcPr>
            <w:tcW w:type="dxa" w:w="1234"/>
          </w:tcPr>
          <w:p>
            <w:r>
              <w:rPr>
                <w:rFonts w:ascii="Calibri" w:hAnsi="Calibri"/>
                <w:sz w:val="22"/>
              </w:rPr>
              <w:t>$13.20B</w:t>
            </w:r>
          </w:p>
        </w:tc>
        <w:tc>
          <w:tcPr>
            <w:tcW w:type="dxa" w:w="1234"/>
          </w:tcPr>
          <w:p>
            <w:r>
              <w:rPr>
                <w:rFonts w:ascii="Calibri" w:hAnsi="Calibri"/>
                <w:sz w:val="22"/>
              </w:rPr>
              <w:t>$12.65B</w:t>
            </w:r>
          </w:p>
        </w:tc>
        <w:tc>
          <w:tcPr>
            <w:tcW w:type="dxa" w:w="1234"/>
          </w:tcPr>
          <w:p>
            <w:r>
              <w:rPr>
                <w:rFonts w:ascii="Calibri" w:hAnsi="Calibri"/>
                <w:sz w:val="22"/>
              </w:rPr>
              <w:t>$14.24B</w:t>
            </w:r>
          </w:p>
        </w:tc>
        <w:tc>
          <w:tcPr>
            <w:tcW w:type="dxa" w:w="1234"/>
          </w:tcPr>
          <w:p>
            <w:r>
              <w:rPr>
                <w:rFonts w:ascii="Calibri" w:hAnsi="Calibri"/>
                <w:sz w:val="22"/>
              </w:rPr>
              <w:t>+12.6%</w:t>
            </w:r>
          </w:p>
        </w:tc>
        <w:tc>
          <w:tcPr>
            <w:tcW w:type="dxa" w:w="1234"/>
          </w:tcPr>
          <w:p>
            <w:r>
              <w:rPr>
                <w:rFonts w:ascii="Calibri" w:hAnsi="Calibri"/>
                <w:sz w:val="22"/>
              </w:rPr>
              <w:t>No explicit revenue guidance</w:t>
            </w:r>
          </w:p>
        </w:tc>
        <w:tc>
          <w:tcPr>
            <w:tcW w:type="dxa" w:w="1234"/>
          </w:tcPr>
          <w:p>
            <w:r>
              <w:rPr>
                <w:rFonts w:ascii="Calibri" w:hAnsi="Calibri"/>
                <w:sz w:val="22"/>
              </w:rPr>
              <w:t>N/A</w:t>
            </w:r>
          </w:p>
        </w:tc>
      </w:tr>
      <w:tr>
        <w:tc>
          <w:tcPr>
            <w:tcW w:type="dxa" w:w="1234"/>
          </w:tcPr>
          <w:p>
            <w:r>
              <w:rPr>
                <w:rFonts w:ascii="Calibri" w:hAnsi="Calibri"/>
                <w:sz w:val="22"/>
              </w:rPr>
              <w:t>Adjusted EBITDA ($B)</w:t>
            </w:r>
          </w:p>
        </w:tc>
        <w:tc>
          <w:tcPr>
            <w:tcW w:type="dxa" w:w="1234"/>
          </w:tcPr>
          <w:p>
            <w:r>
              <w:rPr>
                <w:rFonts w:ascii="Calibri" w:hAnsi="Calibri"/>
                <w:sz w:val="22"/>
              </w:rPr>
              <w:t>$2.481B</w:t>
            </w:r>
          </w:p>
        </w:tc>
        <w:tc>
          <w:tcPr>
            <w:tcW w:type="dxa" w:w="1234"/>
          </w:tcPr>
          <w:p>
            <w:r>
              <w:rPr>
                <w:rFonts w:ascii="Calibri" w:hAnsi="Calibri"/>
                <w:sz w:val="22"/>
              </w:rPr>
              <w:t>$2.119B</w:t>
            </w:r>
          </w:p>
        </w:tc>
        <w:tc>
          <w:tcPr>
            <w:tcW w:type="dxa" w:w="1234"/>
          </w:tcPr>
          <w:p>
            <w:r>
              <w:rPr>
                <w:rFonts w:ascii="Calibri" w:hAnsi="Calibri"/>
                <w:sz w:val="22"/>
              </w:rPr>
              <w:t>$2.761B</w:t>
            </w:r>
          </w:p>
        </w:tc>
        <w:tc>
          <w:tcPr>
            <w:tcW w:type="dxa" w:w="1234"/>
          </w:tcPr>
          <w:p>
            <w:r>
              <w:rPr>
                <w:rFonts w:ascii="Calibri" w:hAnsi="Calibri"/>
                <w:sz w:val="22"/>
              </w:rPr>
              <w:t>+30.3%</w:t>
            </w:r>
          </w:p>
        </w:tc>
        <w:tc>
          <w:tcPr>
            <w:tcW w:type="dxa" w:w="1234"/>
          </w:tcPr>
          <w:p>
            <w:r>
              <w:rPr>
                <w:rFonts w:ascii="Calibri" w:hAnsi="Calibri"/>
                <w:sz w:val="22"/>
              </w:rPr>
              <w:t>Guided above Street at Q1 print (specific range not disclosed in docs)</w:t>
            </w:r>
          </w:p>
        </w:tc>
        <w:tc>
          <w:tcPr>
            <w:tcW w:type="dxa" w:w="1234"/>
          </w:tcPr>
          <w:p>
            <w:r>
              <w:rPr>
                <w:rFonts w:ascii="Calibri" w:hAnsi="Calibri"/>
                <w:sz w:val="22"/>
              </w:rPr>
              <w:t>N/A — range not in source docs</w:t>
            </w:r>
          </w:p>
        </w:tc>
      </w:tr>
      <w:tr>
        <w:tc>
          <w:tcPr>
            <w:tcW w:type="dxa" w:w="1234"/>
          </w:tcPr>
          <w:p>
            <w:r>
              <w:rPr>
                <w:rFonts w:ascii="Calibri" w:hAnsi="Calibri"/>
                <w:sz w:val="22"/>
              </w:rPr>
              <w:t>Adj. EBITDA Margin (%)</w:t>
            </w:r>
          </w:p>
        </w:tc>
        <w:tc>
          <w:tcPr>
            <w:tcW w:type="dxa" w:w="1234"/>
          </w:tcPr>
          <w:p>
            <w:r>
              <w:rPr>
                <w:rFonts w:ascii="Calibri" w:hAnsi="Calibri"/>
                <w:sz w:val="22"/>
              </w:rPr>
              <w:t>18.79%</w:t>
            </w:r>
          </w:p>
        </w:tc>
        <w:tc>
          <w:tcPr>
            <w:tcW w:type="dxa" w:w="1234"/>
          </w:tcPr>
          <w:p>
            <w:r>
              <w:rPr>
                <w:rFonts w:ascii="Calibri" w:hAnsi="Calibri"/>
                <w:sz w:val="22"/>
              </w:rPr>
              <w:t>16.75%</w:t>
            </w:r>
          </w:p>
        </w:tc>
        <w:tc>
          <w:tcPr>
            <w:tcW w:type="dxa" w:w="1234"/>
          </w:tcPr>
          <w:p>
            <w:r>
              <w:rPr>
                <w:rFonts w:ascii="Calibri" w:hAnsi="Calibri"/>
                <w:sz w:val="22"/>
              </w:rPr>
              <w:t>19.43%</w:t>
            </w:r>
          </w:p>
        </w:tc>
        <w:tc>
          <w:tcPr>
            <w:tcW w:type="dxa" w:w="1234"/>
          </w:tcPr>
          <w:p>
            <w:r>
              <w:rPr>
                <w:rFonts w:ascii="Calibri" w:hAnsi="Calibri"/>
                <w:sz w:val="22"/>
              </w:rPr>
              <w:t>+268 bps YoY</w:t>
            </w:r>
          </w:p>
        </w:tc>
        <w:tc>
          <w:tcPr>
            <w:tcW w:type="dxa" w:w="1234"/>
          </w:tcPr>
          <w:p>
            <w:r>
              <w:rPr>
                <w:rFonts w:ascii="Calibri" w:hAnsi="Calibri"/>
                <w:sz w:val="22"/>
              </w:rPr>
              <w:t>Annual expansion committed; no quarterly range</w:t>
            </w:r>
          </w:p>
        </w:tc>
        <w:tc>
          <w:tcPr>
            <w:tcW w:type="dxa" w:w="1234"/>
          </w:tcPr>
          <w:p>
            <w:r>
              <w:rPr>
                <w:rFonts w:ascii="Calibri" w:hAnsi="Calibri"/>
                <w:sz w:val="22"/>
              </w:rPr>
              <w:t>N/A</w:t>
            </w:r>
          </w:p>
        </w:tc>
      </w:tr>
      <w:tr>
        <w:tc>
          <w:tcPr>
            <w:tcW w:type="dxa" w:w="1234"/>
          </w:tcPr>
          <w:p>
            <w:r>
              <w:rPr>
                <w:rFonts w:ascii="Calibri" w:hAnsi="Calibri"/>
                <w:sz w:val="22"/>
              </w:rPr>
              <w:t>MAPCs (M)</w:t>
            </w:r>
          </w:p>
        </w:tc>
        <w:tc>
          <w:tcPr>
            <w:tcW w:type="dxa" w:w="1234"/>
          </w:tcPr>
          <w:p>
            <w:r>
              <w:rPr>
                <w:rFonts w:ascii="Calibri" w:hAnsi="Calibri"/>
                <w:sz w:val="22"/>
              </w:rPr>
              <w:t>199M</w:t>
            </w:r>
          </w:p>
        </w:tc>
        <w:tc>
          <w:tcPr>
            <w:tcW w:type="dxa" w:w="1234"/>
          </w:tcPr>
          <w:p>
            <w:r>
              <w:rPr>
                <w:rFonts w:ascii="Calibri" w:hAnsi="Calibri"/>
                <w:sz w:val="22"/>
              </w:rPr>
              <w:t>180M</w:t>
            </w:r>
          </w:p>
        </w:tc>
        <w:tc>
          <w:tcPr>
            <w:tcW w:type="dxa" w:w="1234"/>
          </w:tcPr>
          <w:p>
            <w:r>
              <w:rPr>
                <w:rFonts w:ascii="Calibri" w:hAnsi="Calibri"/>
                <w:sz w:val="22"/>
              </w:rPr>
              <w:t>207M</w:t>
            </w:r>
          </w:p>
        </w:tc>
        <w:tc>
          <w:tcPr>
            <w:tcW w:type="dxa" w:w="1234"/>
          </w:tcPr>
          <w:p>
            <w:r>
              <w:rPr>
                <w:rFonts w:ascii="Calibri" w:hAnsi="Calibri"/>
                <w:sz w:val="22"/>
              </w:rPr>
              <w:t>+15.0%</w:t>
            </w:r>
          </w:p>
        </w:tc>
        <w:tc>
          <w:tcPr>
            <w:tcW w:type="dxa" w:w="1234"/>
          </w:tcPr>
          <w:p>
            <w:r>
              <w:rPr>
                <w:rFonts w:ascii="Calibri" w:hAnsi="Calibri"/>
                <w:sz w:val="22"/>
              </w:rPr>
              <w:t>No explicit guidance</w:t>
            </w:r>
          </w:p>
        </w:tc>
        <w:tc>
          <w:tcPr>
            <w:tcW w:type="dxa" w:w="1234"/>
          </w:tcPr>
          <w:p>
            <w:r>
              <w:rPr>
                <w:rFonts w:ascii="Calibri" w:hAnsi="Calibri"/>
                <w:sz w:val="22"/>
              </w:rPr>
              <w:t>N/A</w:t>
            </w:r>
          </w:p>
        </w:tc>
      </w:tr>
      <w:tr>
        <w:tc>
          <w:tcPr>
            <w:tcW w:type="dxa" w:w="1234"/>
          </w:tcPr>
          <w:p>
            <w:r>
              <w:rPr>
                <w:rFonts w:ascii="Calibri" w:hAnsi="Calibri"/>
                <w:sz w:val="22"/>
              </w:rPr>
              <w:t>Trips (B)</w:t>
            </w:r>
          </w:p>
        </w:tc>
        <w:tc>
          <w:tcPr>
            <w:tcW w:type="dxa" w:w="1234"/>
          </w:tcPr>
          <w:p>
            <w:r>
              <w:rPr>
                <w:rFonts w:ascii="Calibri" w:hAnsi="Calibri"/>
                <w:sz w:val="22"/>
              </w:rPr>
              <w:t>3.643B</w:t>
            </w:r>
          </w:p>
        </w:tc>
        <w:tc>
          <w:tcPr>
            <w:tcW w:type="dxa" w:w="1234"/>
          </w:tcPr>
          <w:p>
            <w:r>
              <w:rPr>
                <w:rFonts w:ascii="Calibri" w:hAnsi="Calibri"/>
                <w:sz w:val="22"/>
              </w:rPr>
              <w:t>3.268B</w:t>
            </w:r>
          </w:p>
        </w:tc>
        <w:tc>
          <w:tcPr>
            <w:tcW w:type="dxa" w:w="1234"/>
          </w:tcPr>
          <w:p>
            <w:r>
              <w:rPr>
                <w:rFonts w:ascii="Calibri" w:hAnsi="Calibri"/>
                <w:sz w:val="22"/>
              </w:rPr>
              <w:t>3.882B</w:t>
            </w:r>
          </w:p>
        </w:tc>
        <w:tc>
          <w:tcPr>
            <w:tcW w:type="dxa" w:w="1234"/>
          </w:tcPr>
          <w:p>
            <w:r>
              <w:rPr>
                <w:rFonts w:ascii="Calibri" w:hAnsi="Calibri"/>
                <w:sz w:val="22"/>
              </w:rPr>
              <w:t>+18.8%</w:t>
            </w:r>
          </w:p>
        </w:tc>
        <w:tc>
          <w:tcPr>
            <w:tcW w:type="dxa" w:w="1234"/>
          </w:tcPr>
          <w:p>
            <w:r>
              <w:rPr>
                <w:rFonts w:ascii="Calibri" w:hAnsi="Calibri"/>
                <w:sz w:val="22"/>
              </w:rPr>
              <w:t>No explicit guidance</w:t>
            </w:r>
          </w:p>
        </w:tc>
        <w:tc>
          <w:tcPr>
            <w:tcW w:type="dxa" w:w="1234"/>
          </w:tcPr>
          <w:p>
            <w:r>
              <w:rPr>
                <w:rFonts w:ascii="Calibri" w:hAnsi="Calibri"/>
                <w:sz w:val="22"/>
              </w:rPr>
              <w:t>N/A</w:t>
            </w:r>
          </w:p>
        </w:tc>
      </w:tr>
      <w:tr>
        <w:tc>
          <w:tcPr>
            <w:tcW w:type="dxa" w:w="1234"/>
          </w:tcPr>
          <w:p>
            <w:r>
              <w:rPr>
                <w:rFonts w:ascii="Calibri" w:hAnsi="Calibri"/>
                <w:sz w:val="22"/>
              </w:rPr>
              <w:t>Free Cash Flow ($B)</w:t>
            </w:r>
          </w:p>
        </w:tc>
        <w:tc>
          <w:tcPr>
            <w:tcW w:type="dxa" w:w="1234"/>
          </w:tcPr>
          <w:p>
            <w:r>
              <w:rPr>
                <w:rFonts w:ascii="Calibri" w:hAnsi="Calibri"/>
                <w:sz w:val="22"/>
              </w:rPr>
              <w:t>$2.286B</w:t>
            </w:r>
          </w:p>
        </w:tc>
        <w:tc>
          <w:tcPr>
            <w:tcW w:type="dxa" w:w="1234"/>
          </w:tcPr>
          <w:p>
            <w:r>
              <w:rPr>
                <w:rFonts w:ascii="Calibri" w:hAnsi="Calibri"/>
                <w:sz w:val="22"/>
              </w:rPr>
              <w:t>$2.480B</w:t>
            </w:r>
          </w:p>
        </w:tc>
        <w:tc>
          <w:tcPr>
            <w:tcW w:type="dxa" w:w="1234"/>
          </w:tcPr>
          <w:p>
            <w:r>
              <w:rPr>
                <w:rFonts w:ascii="Calibri" w:hAnsi="Calibri"/>
                <w:sz w:val="22"/>
              </w:rPr>
              <w:t>$3.555B</w:t>
            </w:r>
          </w:p>
        </w:tc>
        <w:tc>
          <w:tcPr>
            <w:tcW w:type="dxa" w:w="1234"/>
          </w:tcPr>
          <w:p>
            <w:r>
              <w:rPr>
                <w:rFonts w:ascii="Calibri" w:hAnsi="Calibri"/>
                <w:sz w:val="22"/>
              </w:rPr>
              <w:t>+43.3%</w:t>
            </w:r>
          </w:p>
        </w:tc>
        <w:tc>
          <w:tcPr>
            <w:tcW w:type="dxa" w:w="1234"/>
          </w:tcPr>
          <w:p>
            <w:r>
              <w:rPr>
                <w:rFonts w:ascii="Calibri" w:hAnsi="Calibri"/>
                <w:sz w:val="22"/>
              </w:rPr>
              <w:t>No explicit guidance</w:t>
            </w:r>
          </w:p>
        </w:tc>
        <w:tc>
          <w:tcPr>
            <w:tcW w:type="dxa" w:w="1234"/>
          </w:tcPr>
          <w:p>
            <w:r>
              <w:rPr>
                <w:rFonts w:ascii="Calibri" w:hAnsi="Calibri"/>
                <w:sz w:val="22"/>
              </w:rPr>
              <w:t>N/A</w:t>
            </w:r>
          </w:p>
        </w:tc>
      </w:tr>
      <w:tr>
        <w:tc>
          <w:tcPr>
            <w:tcW w:type="dxa" w:w="1234"/>
          </w:tcPr>
          <w:p>
            <w:r>
              <w:rPr>
                <w:rFonts w:ascii="Calibri" w:hAnsi="Calibri"/>
                <w:sz w:val="22"/>
              </w:rPr>
              <w:t>EPS — Diluted Operating ($)</w:t>
            </w:r>
          </w:p>
        </w:tc>
        <w:tc>
          <w:tcPr>
            <w:tcW w:type="dxa" w:w="1234"/>
          </w:tcPr>
          <w:p>
            <w:r>
              <w:rPr>
                <w:rFonts w:ascii="Calibri" w:hAnsi="Calibri"/>
                <w:sz w:val="22"/>
              </w:rPr>
              <w:t>$0.72</w:t>
            </w:r>
          </w:p>
        </w:tc>
        <w:tc>
          <w:tcPr>
            <w:tcW w:type="dxa" w:w="1234"/>
          </w:tcPr>
          <w:p>
            <w:r>
              <w:rPr>
                <w:rFonts w:ascii="Calibri" w:hAnsi="Calibri"/>
                <w:sz w:val="22"/>
              </w:rPr>
              <w:t>$0.60</w:t>
            </w:r>
          </w:p>
        </w:tc>
        <w:tc>
          <w:tcPr>
            <w:tcW w:type="dxa" w:w="1234"/>
          </w:tcPr>
          <w:p>
            <w:r>
              <w:rPr>
                <w:rFonts w:ascii="Calibri" w:hAnsi="Calibri"/>
                <w:sz w:val="22"/>
              </w:rPr>
              <w:t>$0.80</w:t>
            </w:r>
          </w:p>
        </w:tc>
        <w:tc>
          <w:tcPr>
            <w:tcW w:type="dxa" w:w="1234"/>
          </w:tcPr>
          <w:p>
            <w:r>
              <w:rPr>
                <w:rFonts w:ascii="Calibri" w:hAnsi="Calibri"/>
                <w:sz w:val="22"/>
              </w:rPr>
              <w:t>+33.7%</w:t>
            </w:r>
          </w:p>
        </w:tc>
        <w:tc>
          <w:tcPr>
            <w:tcW w:type="dxa" w:w="1234"/>
          </w:tcPr>
          <w:p>
            <w:r>
              <w:rPr>
                <w:rFonts w:ascii="Calibri" w:hAnsi="Calibri"/>
                <w:sz w:val="22"/>
              </w:rPr>
              <w:t>No explicit guidance</w:t>
            </w:r>
          </w:p>
        </w:tc>
        <w:tc>
          <w:tcPr>
            <w:tcW w:type="dxa" w:w="1234"/>
          </w:tcPr>
          <w:p>
            <w:r>
              <w:rPr>
                <w:rFonts w:ascii="Calibri" w:hAnsi="Calibri"/>
                <w:sz w:val="22"/>
              </w:rPr>
              <w:t>N/A</w:t>
            </w:r>
          </w:p>
        </w:tc>
      </w:tr>
    </w:tbl>
    <w:p>
      <w:r>
        <w:rPr>
          <w:rFonts w:ascii="Calibri" w:hAnsi="Calibri"/>
          <w:i/>
          <w:color w:val="525866"/>
          <w:sz w:val="22"/>
        </w:rPr>
        <w:t>Source: Visible Alpha Consensus and Actuals Data. Q2 2026 guidance range (18–22% gross bookings growth) from Q1 2026 earnings call (May 6, 2026) and Bernstein Strategic Decisions Conference (May 28, 2026). Consensus midpoint for gross bookings derived by applying 20% growth to Q2 2025 actual of $46.76B.</w:t>
      </w:r>
    </w:p>
    <w:p>
      <w:pPr>
        <w:pStyle w:val="Heading3"/>
      </w:pPr>
      <w:r>
        <w:rPr>
          <w:rFonts w:ascii="Calibri" w:hAnsi="Calibri"/>
          <w:b/>
          <w:color w:val="3B4259"/>
          <w:sz w:val="24"/>
        </w:rPr>
        <w:t>Table 2 — Beat/Miss History (Last 8 Quarters)</w:t>
      </w:r>
    </w:p>
    <w:tbl>
      <w:tblPr>
        <w:tblStyle w:val="TableGrid"/>
        <w:tblW w:type="auto" w:w="0"/>
        <w:tblLook w:firstColumn="1" w:firstRow="1" w:lastColumn="0" w:lastRow="0" w:noHBand="0" w:noVBand="1" w:val="04A0"/>
      </w:tblPr>
      <w:tblGrid>
        <w:gridCol w:w="960"/>
        <w:gridCol w:w="960"/>
        <w:gridCol w:w="960"/>
        <w:gridCol w:w="960"/>
        <w:gridCol w:w="960"/>
        <w:gridCol w:w="960"/>
        <w:gridCol w:w="960"/>
        <w:gridCol w:w="960"/>
        <w:gridCol w:w="960"/>
      </w:tblGrid>
      <w:tr>
        <w:tc>
          <w:tcPr>
            <w:tcW w:type="dxa" w:w="960"/>
            <w:shd w:val="clear" w:color="auto" w:fill="3B4259"/>
          </w:tcPr>
          <w:p>
            <w:r>
              <w:rPr>
                <w:rFonts w:ascii="Calibri" w:hAnsi="Calibri"/>
                <w:b/>
                <w:color w:val="FFFFFF"/>
                <w:sz w:val="22"/>
              </w:rPr>
              <w:t>Quarter</w:t>
            </w:r>
          </w:p>
        </w:tc>
        <w:tc>
          <w:tcPr>
            <w:tcW w:type="dxa" w:w="960"/>
            <w:shd w:val="clear" w:color="auto" w:fill="3B4259"/>
          </w:tcPr>
          <w:p>
            <w:r>
              <w:rPr>
                <w:rFonts w:ascii="Calibri" w:hAnsi="Calibri"/>
                <w:b/>
                <w:color w:val="FFFFFF"/>
                <w:sz w:val="22"/>
              </w:rPr>
              <w:t>Gross Bookings Reported ($B)</w:t>
            </w:r>
          </w:p>
        </w:tc>
        <w:tc>
          <w:tcPr>
            <w:tcW w:type="dxa" w:w="960"/>
            <w:shd w:val="clear" w:color="auto" w:fill="3B4259"/>
          </w:tcPr>
          <w:p>
            <w:r>
              <w:rPr>
                <w:rFonts w:ascii="Calibri" w:hAnsi="Calibri"/>
                <w:b/>
                <w:color w:val="FFFFFF"/>
                <w:sz w:val="22"/>
              </w:rPr>
              <w:t>GB Consensus ($B)</w:t>
            </w:r>
          </w:p>
        </w:tc>
        <w:tc>
          <w:tcPr>
            <w:tcW w:type="dxa" w:w="960"/>
            <w:shd w:val="clear" w:color="auto" w:fill="3B4259"/>
          </w:tcPr>
          <w:p>
            <w:r>
              <w:rPr>
                <w:rFonts w:ascii="Calibri" w:hAnsi="Calibri"/>
                <w:b/>
                <w:color w:val="FFFFFF"/>
                <w:sz w:val="22"/>
              </w:rPr>
              <w:t>GB Surprise %</w:t>
            </w:r>
          </w:p>
        </w:tc>
        <w:tc>
          <w:tcPr>
            <w:tcW w:type="dxa" w:w="960"/>
            <w:shd w:val="clear" w:color="auto" w:fill="3B4259"/>
          </w:tcPr>
          <w:p>
            <w:r>
              <w:rPr>
                <w:rFonts w:ascii="Calibri" w:hAnsi="Calibri"/>
                <w:b/>
                <w:color w:val="FFFFFF"/>
                <w:sz w:val="22"/>
              </w:rPr>
              <w:t>GB Result</w:t>
            </w:r>
          </w:p>
        </w:tc>
        <w:tc>
          <w:tcPr>
            <w:tcW w:type="dxa" w:w="960"/>
            <w:shd w:val="clear" w:color="auto" w:fill="3B4259"/>
          </w:tcPr>
          <w:p>
            <w:r>
              <w:rPr>
                <w:rFonts w:ascii="Calibri" w:hAnsi="Calibri"/>
                <w:b/>
                <w:color w:val="FFFFFF"/>
                <w:sz w:val="22"/>
              </w:rPr>
              <w:t>Adj. EBITDA Reported ($B)</w:t>
            </w:r>
          </w:p>
        </w:tc>
        <w:tc>
          <w:tcPr>
            <w:tcW w:type="dxa" w:w="960"/>
            <w:shd w:val="clear" w:color="auto" w:fill="3B4259"/>
          </w:tcPr>
          <w:p>
            <w:r>
              <w:rPr>
                <w:rFonts w:ascii="Calibri" w:hAnsi="Calibri"/>
                <w:b/>
                <w:color w:val="FFFFFF"/>
                <w:sz w:val="22"/>
              </w:rPr>
              <w:t>EBITDA Consensus ($B)</w:t>
            </w:r>
          </w:p>
        </w:tc>
        <w:tc>
          <w:tcPr>
            <w:tcW w:type="dxa" w:w="960"/>
            <w:shd w:val="clear" w:color="auto" w:fill="3B4259"/>
          </w:tcPr>
          <w:p>
            <w:r>
              <w:rPr>
                <w:rFonts w:ascii="Calibri" w:hAnsi="Calibri"/>
                <w:b/>
                <w:color w:val="FFFFFF"/>
                <w:sz w:val="22"/>
              </w:rPr>
              <w:t>EBITDA Surprise %</w:t>
            </w:r>
          </w:p>
        </w:tc>
        <w:tc>
          <w:tcPr>
            <w:tcW w:type="dxa" w:w="960"/>
            <w:shd w:val="clear" w:color="auto" w:fill="3B4259"/>
          </w:tcPr>
          <w:p>
            <w:r>
              <w:rPr>
                <w:rFonts w:ascii="Calibri" w:hAnsi="Calibri"/>
                <w:b/>
                <w:color w:val="FFFFFF"/>
                <w:sz w:val="22"/>
              </w:rPr>
              <w:t>EBITDA Result</w:t>
            </w:r>
          </w:p>
        </w:tc>
      </w:tr>
      <w:tr>
        <w:tc>
          <w:tcPr>
            <w:tcW w:type="dxa" w:w="960"/>
          </w:tcPr>
          <w:p>
            <w:r>
              <w:rPr>
                <w:rFonts w:ascii="Calibri" w:hAnsi="Calibri"/>
                <w:sz w:val="22"/>
              </w:rPr>
              <w:t>Q1 2026</w:t>
            </w:r>
          </w:p>
        </w:tc>
        <w:tc>
          <w:tcPr>
            <w:tcW w:type="dxa" w:w="960"/>
          </w:tcPr>
          <w:p>
            <w:r>
              <w:rPr>
                <w:rFonts w:ascii="Calibri" w:hAnsi="Calibri"/>
                <w:sz w:val="22"/>
              </w:rPr>
              <w:t>$53.72B</w:t>
            </w:r>
          </w:p>
        </w:tc>
        <w:tc>
          <w:tcPr>
            <w:tcW w:type="dxa" w:w="960"/>
          </w:tcPr>
          <w:p>
            <w:r>
              <w:rPr>
                <w:rFonts w:ascii="Calibri" w:hAnsi="Calibri"/>
                <w:sz w:val="22"/>
              </w:rPr>
              <w:t>$52.89B</w:t>
            </w:r>
          </w:p>
        </w:tc>
        <w:tc>
          <w:tcPr>
            <w:tcW w:type="dxa" w:w="960"/>
          </w:tcPr>
          <w:p>
            <w:r>
              <w:rPr>
                <w:rFonts w:ascii="Calibri" w:hAnsi="Calibri"/>
                <w:b/>
                <w:color w:val="30A46C"/>
                <w:sz w:val="22"/>
              </w:rPr>
              <w:t>+1.6%</w:t>
            </w:r>
          </w:p>
        </w:tc>
        <w:tc>
          <w:tcPr>
            <w:tcW w:type="dxa" w:w="960"/>
          </w:tcPr>
          <w:p>
            <w:r>
              <w:rPr>
                <w:rFonts w:ascii="Calibri" w:hAnsi="Calibri"/>
                <w:b/>
                <w:color w:val="30A46C"/>
                <w:sz w:val="22"/>
              </w:rPr>
              <w:t>BEAT</w:t>
            </w:r>
          </w:p>
        </w:tc>
        <w:tc>
          <w:tcPr>
            <w:tcW w:type="dxa" w:w="960"/>
          </w:tcPr>
          <w:p>
            <w:r>
              <w:rPr>
                <w:rFonts w:ascii="Calibri" w:hAnsi="Calibri"/>
                <w:sz w:val="22"/>
              </w:rPr>
              <w:t>$2.481B</w:t>
            </w:r>
          </w:p>
        </w:tc>
        <w:tc>
          <w:tcPr>
            <w:tcW w:type="dxa" w:w="960"/>
          </w:tcPr>
          <w:p>
            <w:r>
              <w:rPr>
                <w:rFonts w:ascii="Calibri" w:hAnsi="Calibri"/>
                <w:sz w:val="22"/>
              </w:rPr>
              <w:t>$2.433B</w:t>
            </w:r>
          </w:p>
        </w:tc>
        <w:tc>
          <w:tcPr>
            <w:tcW w:type="dxa" w:w="960"/>
          </w:tcPr>
          <w:p>
            <w:r>
              <w:rPr>
                <w:rFonts w:ascii="Calibri" w:hAnsi="Calibri"/>
                <w:b/>
                <w:color w:val="30A46C"/>
                <w:sz w:val="22"/>
              </w:rPr>
              <w:t>+2.0%</w:t>
            </w:r>
          </w:p>
        </w:tc>
        <w:tc>
          <w:tcPr>
            <w:tcW w:type="dxa" w:w="960"/>
          </w:tcPr>
          <w:p>
            <w:r>
              <w:rPr>
                <w:rFonts w:ascii="Calibri" w:hAnsi="Calibri"/>
                <w:b/>
                <w:color w:val="30A46C"/>
                <w:sz w:val="22"/>
              </w:rPr>
              <w:t>BEAT</w:t>
            </w:r>
          </w:p>
        </w:tc>
      </w:tr>
      <w:tr>
        <w:tc>
          <w:tcPr>
            <w:tcW w:type="dxa" w:w="960"/>
          </w:tcPr>
          <w:p>
            <w:r>
              <w:rPr>
                <w:rFonts w:ascii="Calibri" w:hAnsi="Calibri"/>
                <w:sz w:val="22"/>
              </w:rPr>
              <w:t>Q4 2025</w:t>
            </w:r>
          </w:p>
        </w:tc>
        <w:tc>
          <w:tcPr>
            <w:tcW w:type="dxa" w:w="960"/>
          </w:tcPr>
          <w:p>
            <w:r>
              <w:rPr>
                <w:rFonts w:ascii="Calibri" w:hAnsi="Calibri"/>
                <w:sz w:val="22"/>
              </w:rPr>
              <w:t>$54.14B</w:t>
            </w:r>
          </w:p>
        </w:tc>
        <w:tc>
          <w:tcPr>
            <w:tcW w:type="dxa" w:w="960"/>
          </w:tcPr>
          <w:p>
            <w:r>
              <w:rPr>
                <w:rFonts w:ascii="Calibri" w:hAnsi="Calibri"/>
                <w:sz w:val="22"/>
              </w:rPr>
              <w:t>$53.26B</w:t>
            </w:r>
          </w:p>
        </w:tc>
        <w:tc>
          <w:tcPr>
            <w:tcW w:type="dxa" w:w="960"/>
          </w:tcPr>
          <w:p>
            <w:r>
              <w:rPr>
                <w:rFonts w:ascii="Calibri" w:hAnsi="Calibri"/>
                <w:b/>
                <w:color w:val="30A46C"/>
                <w:sz w:val="22"/>
              </w:rPr>
              <w:t>+1.7%</w:t>
            </w:r>
          </w:p>
        </w:tc>
        <w:tc>
          <w:tcPr>
            <w:tcW w:type="dxa" w:w="960"/>
          </w:tcPr>
          <w:p>
            <w:r>
              <w:rPr>
                <w:rFonts w:ascii="Calibri" w:hAnsi="Calibri"/>
                <w:b/>
                <w:color w:val="30A46C"/>
                <w:sz w:val="22"/>
              </w:rPr>
              <w:t>BEAT</w:t>
            </w:r>
          </w:p>
        </w:tc>
        <w:tc>
          <w:tcPr>
            <w:tcW w:type="dxa" w:w="960"/>
          </w:tcPr>
          <w:p>
            <w:r>
              <w:rPr>
                <w:rFonts w:ascii="Calibri" w:hAnsi="Calibri"/>
                <w:sz w:val="22"/>
              </w:rPr>
              <w:t>$2.487B</w:t>
            </w:r>
          </w:p>
        </w:tc>
        <w:tc>
          <w:tcPr>
            <w:tcW w:type="dxa" w:w="960"/>
          </w:tcPr>
          <w:p>
            <w:r>
              <w:rPr>
                <w:rFonts w:ascii="Calibri" w:hAnsi="Calibri"/>
                <w:sz w:val="22"/>
              </w:rPr>
              <w:t>$2.475B</w:t>
            </w:r>
          </w:p>
        </w:tc>
        <w:tc>
          <w:tcPr>
            <w:tcW w:type="dxa" w:w="960"/>
          </w:tcPr>
          <w:p>
            <w:r>
              <w:rPr>
                <w:rFonts w:ascii="Calibri" w:hAnsi="Calibri"/>
                <w:b/>
                <w:color w:val="30A46C"/>
                <w:sz w:val="22"/>
              </w:rPr>
              <w:t>+0.5%</w:t>
            </w:r>
          </w:p>
        </w:tc>
        <w:tc>
          <w:tcPr>
            <w:tcW w:type="dxa" w:w="960"/>
          </w:tcPr>
          <w:p>
            <w:r>
              <w:rPr>
                <w:rFonts w:ascii="Calibri" w:hAnsi="Calibri"/>
                <w:b/>
                <w:color w:val="30A46C"/>
                <w:sz w:val="22"/>
              </w:rPr>
              <w:t>BEAT</w:t>
            </w:r>
          </w:p>
        </w:tc>
      </w:tr>
      <w:tr>
        <w:tc>
          <w:tcPr>
            <w:tcW w:type="dxa" w:w="960"/>
          </w:tcPr>
          <w:p>
            <w:r>
              <w:rPr>
                <w:rFonts w:ascii="Calibri" w:hAnsi="Calibri"/>
                <w:sz w:val="22"/>
              </w:rPr>
              <w:t>Q3 2025</w:t>
            </w:r>
          </w:p>
        </w:tc>
        <w:tc>
          <w:tcPr>
            <w:tcW w:type="dxa" w:w="960"/>
          </w:tcPr>
          <w:p>
            <w:r>
              <w:rPr>
                <w:rFonts w:ascii="Calibri" w:hAnsi="Calibri"/>
                <w:sz w:val="22"/>
              </w:rPr>
              <w:t>$49.74B</w:t>
            </w:r>
          </w:p>
        </w:tc>
        <w:tc>
          <w:tcPr>
            <w:tcW w:type="dxa" w:w="960"/>
          </w:tcPr>
          <w:p>
            <w:r>
              <w:rPr>
                <w:rFonts w:ascii="Calibri" w:hAnsi="Calibri"/>
                <w:sz w:val="22"/>
              </w:rPr>
              <w:t>$49.02B</w:t>
            </w:r>
          </w:p>
        </w:tc>
        <w:tc>
          <w:tcPr>
            <w:tcW w:type="dxa" w:w="960"/>
          </w:tcPr>
          <w:p>
            <w:r>
              <w:rPr>
                <w:rFonts w:ascii="Calibri" w:hAnsi="Calibri"/>
                <w:b/>
                <w:color w:val="30A46C"/>
                <w:sz w:val="22"/>
              </w:rPr>
              <w:t>+1.5%</w:t>
            </w:r>
          </w:p>
        </w:tc>
        <w:tc>
          <w:tcPr>
            <w:tcW w:type="dxa" w:w="960"/>
          </w:tcPr>
          <w:p>
            <w:r>
              <w:rPr>
                <w:rFonts w:ascii="Calibri" w:hAnsi="Calibri"/>
                <w:b/>
                <w:color w:val="30A46C"/>
                <w:sz w:val="22"/>
              </w:rPr>
              <w:t>BEAT</w:t>
            </w:r>
          </w:p>
        </w:tc>
        <w:tc>
          <w:tcPr>
            <w:tcW w:type="dxa" w:w="960"/>
          </w:tcPr>
          <w:p>
            <w:r>
              <w:rPr>
                <w:rFonts w:ascii="Calibri" w:hAnsi="Calibri"/>
                <w:sz w:val="22"/>
              </w:rPr>
              <w:t>$2.256B</w:t>
            </w:r>
          </w:p>
        </w:tc>
        <w:tc>
          <w:tcPr>
            <w:tcW w:type="dxa" w:w="960"/>
          </w:tcPr>
          <w:p>
            <w:r>
              <w:rPr>
                <w:rFonts w:ascii="Calibri" w:hAnsi="Calibri"/>
                <w:sz w:val="22"/>
              </w:rPr>
              <w:t>$2.264B</w:t>
            </w:r>
          </w:p>
        </w:tc>
        <w:tc>
          <w:tcPr>
            <w:tcW w:type="dxa" w:w="960"/>
          </w:tcPr>
          <w:p>
            <w:r>
              <w:rPr>
                <w:rFonts w:ascii="Calibri" w:hAnsi="Calibri"/>
                <w:b/>
                <w:color w:val="E5484D"/>
                <w:sz w:val="22"/>
              </w:rPr>
              <w:t>-0.4%</w:t>
            </w:r>
          </w:p>
        </w:tc>
        <w:tc>
          <w:tcPr>
            <w:tcW w:type="dxa" w:w="960"/>
          </w:tcPr>
          <w:p>
            <w:r>
              <w:rPr>
                <w:rFonts w:ascii="Calibri" w:hAnsi="Calibri"/>
                <w:b/>
                <w:color w:val="E5484D"/>
                <w:sz w:val="22"/>
              </w:rPr>
              <w:t>MISS</w:t>
            </w:r>
          </w:p>
        </w:tc>
      </w:tr>
      <w:tr>
        <w:tc>
          <w:tcPr>
            <w:tcW w:type="dxa" w:w="960"/>
          </w:tcPr>
          <w:p>
            <w:r>
              <w:rPr>
                <w:rFonts w:ascii="Calibri" w:hAnsi="Calibri"/>
                <w:sz w:val="22"/>
              </w:rPr>
              <w:t>Q2 2025</w:t>
            </w:r>
          </w:p>
        </w:tc>
        <w:tc>
          <w:tcPr>
            <w:tcW w:type="dxa" w:w="960"/>
          </w:tcPr>
          <w:p>
            <w:r>
              <w:rPr>
                <w:rFonts w:ascii="Calibri" w:hAnsi="Calibri"/>
                <w:sz w:val="22"/>
              </w:rPr>
              <w:t>$46.76B</w:t>
            </w:r>
          </w:p>
        </w:tc>
        <w:tc>
          <w:tcPr>
            <w:tcW w:type="dxa" w:w="960"/>
          </w:tcPr>
          <w:p>
            <w:r>
              <w:rPr>
                <w:rFonts w:ascii="Calibri" w:hAnsi="Calibri"/>
                <w:sz w:val="22"/>
              </w:rPr>
              <w:t>$46.43B</w:t>
            </w:r>
          </w:p>
        </w:tc>
        <w:tc>
          <w:tcPr>
            <w:tcW w:type="dxa" w:w="960"/>
          </w:tcPr>
          <w:p>
            <w:r>
              <w:rPr>
                <w:rFonts w:ascii="Calibri" w:hAnsi="Calibri"/>
                <w:b/>
                <w:color w:val="30A46C"/>
                <w:sz w:val="22"/>
              </w:rPr>
              <w:t>+0.7%</w:t>
            </w:r>
          </w:p>
        </w:tc>
        <w:tc>
          <w:tcPr>
            <w:tcW w:type="dxa" w:w="960"/>
          </w:tcPr>
          <w:p>
            <w:r>
              <w:rPr>
                <w:rFonts w:ascii="Calibri" w:hAnsi="Calibri"/>
                <w:b/>
                <w:color w:val="30A46C"/>
                <w:sz w:val="22"/>
              </w:rPr>
              <w:t>BEAT</w:t>
            </w:r>
          </w:p>
        </w:tc>
        <w:tc>
          <w:tcPr>
            <w:tcW w:type="dxa" w:w="960"/>
          </w:tcPr>
          <w:p>
            <w:r>
              <w:rPr>
                <w:rFonts w:ascii="Calibri" w:hAnsi="Calibri"/>
                <w:sz w:val="22"/>
              </w:rPr>
              <w:t>$2.119B</w:t>
            </w:r>
          </w:p>
        </w:tc>
        <w:tc>
          <w:tcPr>
            <w:tcW w:type="dxa" w:w="960"/>
          </w:tcPr>
          <w:p>
            <w:r>
              <w:rPr>
                <w:rFonts w:ascii="Calibri" w:hAnsi="Calibri"/>
                <w:sz w:val="22"/>
              </w:rPr>
              <w:t>$2.096B</w:t>
            </w:r>
          </w:p>
        </w:tc>
        <w:tc>
          <w:tcPr>
            <w:tcW w:type="dxa" w:w="960"/>
          </w:tcPr>
          <w:p>
            <w:r>
              <w:rPr>
                <w:rFonts w:ascii="Calibri" w:hAnsi="Calibri"/>
                <w:b/>
                <w:color w:val="30A46C"/>
                <w:sz w:val="22"/>
              </w:rPr>
              <w:t>+1.1%</w:t>
            </w:r>
          </w:p>
        </w:tc>
        <w:tc>
          <w:tcPr>
            <w:tcW w:type="dxa" w:w="960"/>
          </w:tcPr>
          <w:p>
            <w:r>
              <w:rPr>
                <w:rFonts w:ascii="Calibri" w:hAnsi="Calibri"/>
                <w:b/>
                <w:color w:val="30A46C"/>
                <w:sz w:val="22"/>
              </w:rPr>
              <w:t>BEAT</w:t>
            </w:r>
          </w:p>
        </w:tc>
      </w:tr>
      <w:tr>
        <w:tc>
          <w:tcPr>
            <w:tcW w:type="dxa" w:w="960"/>
          </w:tcPr>
          <w:p>
            <w:r>
              <w:rPr>
                <w:rFonts w:ascii="Calibri" w:hAnsi="Calibri"/>
                <w:sz w:val="22"/>
              </w:rPr>
              <w:t>Q1 2025</w:t>
            </w:r>
          </w:p>
        </w:tc>
        <w:tc>
          <w:tcPr>
            <w:tcW w:type="dxa" w:w="960"/>
          </w:tcPr>
          <w:p>
            <w:r>
              <w:rPr>
                <w:rFonts w:ascii="Calibri" w:hAnsi="Calibri"/>
                <w:sz w:val="22"/>
              </w:rPr>
              <w:t>$42.82B</w:t>
            </w:r>
          </w:p>
        </w:tc>
        <w:tc>
          <w:tcPr>
            <w:tcW w:type="dxa" w:w="960"/>
          </w:tcPr>
          <w:p>
            <w:r>
              <w:rPr>
                <w:rFonts w:ascii="Calibri" w:hAnsi="Calibri"/>
                <w:sz w:val="22"/>
              </w:rPr>
              <w:t>$42.99B</w:t>
            </w:r>
          </w:p>
        </w:tc>
        <w:tc>
          <w:tcPr>
            <w:tcW w:type="dxa" w:w="960"/>
          </w:tcPr>
          <w:p>
            <w:r>
              <w:rPr>
                <w:rFonts w:ascii="Calibri" w:hAnsi="Calibri"/>
                <w:b/>
                <w:color w:val="E5484D"/>
                <w:sz w:val="22"/>
              </w:rPr>
              <w:t>-0.4%</w:t>
            </w:r>
          </w:p>
        </w:tc>
        <w:tc>
          <w:tcPr>
            <w:tcW w:type="dxa" w:w="960"/>
          </w:tcPr>
          <w:p>
            <w:r>
              <w:rPr>
                <w:rFonts w:ascii="Calibri" w:hAnsi="Calibri"/>
                <w:b/>
                <w:color w:val="E5484D"/>
                <w:sz w:val="22"/>
              </w:rPr>
              <w:t>MISS</w:t>
            </w:r>
          </w:p>
        </w:tc>
        <w:tc>
          <w:tcPr>
            <w:tcW w:type="dxa" w:w="960"/>
          </w:tcPr>
          <w:p>
            <w:r>
              <w:rPr>
                <w:rFonts w:ascii="Calibri" w:hAnsi="Calibri"/>
                <w:sz w:val="22"/>
              </w:rPr>
              <w:t>$1.868B</w:t>
            </w:r>
          </w:p>
        </w:tc>
        <w:tc>
          <w:tcPr>
            <w:tcW w:type="dxa" w:w="960"/>
          </w:tcPr>
          <w:p>
            <w:r>
              <w:rPr>
                <w:rFonts w:ascii="Calibri" w:hAnsi="Calibri"/>
                <w:sz w:val="22"/>
              </w:rPr>
              <w:t>$1.841B</w:t>
            </w:r>
          </w:p>
        </w:tc>
        <w:tc>
          <w:tcPr>
            <w:tcW w:type="dxa" w:w="960"/>
          </w:tcPr>
          <w:p>
            <w:r>
              <w:rPr>
                <w:rFonts w:ascii="Calibri" w:hAnsi="Calibri"/>
                <w:b/>
                <w:color w:val="30A46C"/>
                <w:sz w:val="22"/>
              </w:rPr>
              <w:t>+1.5%</w:t>
            </w:r>
          </w:p>
        </w:tc>
        <w:tc>
          <w:tcPr>
            <w:tcW w:type="dxa" w:w="960"/>
          </w:tcPr>
          <w:p>
            <w:r>
              <w:rPr>
                <w:rFonts w:ascii="Calibri" w:hAnsi="Calibri"/>
                <w:b/>
                <w:color w:val="30A46C"/>
                <w:sz w:val="22"/>
              </w:rPr>
              <w:t>BEAT</w:t>
            </w:r>
          </w:p>
        </w:tc>
      </w:tr>
      <w:tr>
        <w:tc>
          <w:tcPr>
            <w:tcW w:type="dxa" w:w="960"/>
          </w:tcPr>
          <w:p>
            <w:r>
              <w:rPr>
                <w:rFonts w:ascii="Calibri" w:hAnsi="Calibri"/>
                <w:sz w:val="22"/>
              </w:rPr>
              <w:t>Q4 2024</w:t>
            </w:r>
          </w:p>
        </w:tc>
        <w:tc>
          <w:tcPr>
            <w:tcW w:type="dxa" w:w="960"/>
          </w:tcPr>
          <w:p>
            <w:r>
              <w:rPr>
                <w:rFonts w:ascii="Calibri" w:hAnsi="Calibri"/>
                <w:sz w:val="22"/>
              </w:rPr>
              <w:t>$44.20B</w:t>
            </w:r>
          </w:p>
        </w:tc>
        <w:tc>
          <w:tcPr>
            <w:tcW w:type="dxa" w:w="960"/>
          </w:tcPr>
          <w:p>
            <w:r>
              <w:rPr>
                <w:rFonts w:ascii="Calibri" w:hAnsi="Calibri"/>
                <w:sz w:val="22"/>
              </w:rPr>
              <w:t>$43.50B</w:t>
            </w:r>
          </w:p>
        </w:tc>
        <w:tc>
          <w:tcPr>
            <w:tcW w:type="dxa" w:w="960"/>
          </w:tcPr>
          <w:p>
            <w:r>
              <w:rPr>
                <w:rFonts w:ascii="Calibri" w:hAnsi="Calibri"/>
                <w:b/>
                <w:color w:val="30A46C"/>
                <w:sz w:val="22"/>
              </w:rPr>
              <w:t>+1.6%</w:t>
            </w:r>
          </w:p>
        </w:tc>
        <w:tc>
          <w:tcPr>
            <w:tcW w:type="dxa" w:w="960"/>
          </w:tcPr>
          <w:p>
            <w:r>
              <w:rPr>
                <w:rFonts w:ascii="Calibri" w:hAnsi="Calibri"/>
                <w:b/>
                <w:color w:val="30A46C"/>
                <w:sz w:val="22"/>
              </w:rPr>
              <w:t>BEAT</w:t>
            </w:r>
          </w:p>
        </w:tc>
        <w:tc>
          <w:tcPr>
            <w:tcW w:type="dxa" w:w="960"/>
          </w:tcPr>
          <w:p>
            <w:r>
              <w:rPr>
                <w:rFonts w:ascii="Calibri" w:hAnsi="Calibri"/>
                <w:sz w:val="22"/>
              </w:rPr>
              <w:t>$1.842B</w:t>
            </w:r>
          </w:p>
        </w:tc>
        <w:tc>
          <w:tcPr>
            <w:tcW w:type="dxa" w:w="960"/>
          </w:tcPr>
          <w:p>
            <w:r>
              <w:rPr>
                <w:rFonts w:ascii="Calibri" w:hAnsi="Calibri"/>
                <w:sz w:val="22"/>
              </w:rPr>
              <w:t>$1.848B</w:t>
            </w:r>
          </w:p>
        </w:tc>
        <w:tc>
          <w:tcPr>
            <w:tcW w:type="dxa" w:w="960"/>
          </w:tcPr>
          <w:p>
            <w:r>
              <w:rPr>
                <w:rFonts w:ascii="Calibri" w:hAnsi="Calibri"/>
                <w:b/>
                <w:color w:val="E5484D"/>
                <w:sz w:val="22"/>
              </w:rPr>
              <w:t>-0.3%</w:t>
            </w:r>
          </w:p>
        </w:tc>
        <w:tc>
          <w:tcPr>
            <w:tcW w:type="dxa" w:w="960"/>
          </w:tcPr>
          <w:p>
            <w:r>
              <w:rPr>
                <w:rFonts w:ascii="Calibri" w:hAnsi="Calibri"/>
                <w:b/>
                <w:color w:val="E5484D"/>
                <w:sz w:val="22"/>
              </w:rPr>
              <w:t>MISS</w:t>
            </w:r>
          </w:p>
        </w:tc>
      </w:tr>
      <w:tr>
        <w:tc>
          <w:tcPr>
            <w:tcW w:type="dxa" w:w="960"/>
          </w:tcPr>
          <w:p>
            <w:r>
              <w:rPr>
                <w:rFonts w:ascii="Calibri" w:hAnsi="Calibri"/>
                <w:sz w:val="22"/>
              </w:rPr>
              <w:t>Q3 2024</w:t>
            </w:r>
          </w:p>
        </w:tc>
        <w:tc>
          <w:tcPr>
            <w:tcW w:type="dxa" w:w="960"/>
          </w:tcPr>
          <w:p>
            <w:r>
              <w:rPr>
                <w:rFonts w:ascii="Calibri" w:hAnsi="Calibri"/>
                <w:sz w:val="22"/>
              </w:rPr>
              <w:t>$40.97B</w:t>
            </w:r>
          </w:p>
        </w:tc>
        <w:tc>
          <w:tcPr>
            <w:tcW w:type="dxa" w:w="960"/>
          </w:tcPr>
          <w:p>
            <w:r>
              <w:rPr>
                <w:rFonts w:ascii="Calibri" w:hAnsi="Calibri"/>
                <w:sz w:val="22"/>
              </w:rPr>
              <w:t>$41.25B</w:t>
            </w:r>
          </w:p>
        </w:tc>
        <w:tc>
          <w:tcPr>
            <w:tcW w:type="dxa" w:w="960"/>
          </w:tcPr>
          <w:p>
            <w:r>
              <w:rPr>
                <w:rFonts w:ascii="Calibri" w:hAnsi="Calibri"/>
                <w:b/>
                <w:color w:val="E5484D"/>
                <w:sz w:val="22"/>
              </w:rPr>
              <w:t>-0.7%</w:t>
            </w:r>
          </w:p>
        </w:tc>
        <w:tc>
          <w:tcPr>
            <w:tcW w:type="dxa" w:w="960"/>
          </w:tcPr>
          <w:p>
            <w:r>
              <w:rPr>
                <w:rFonts w:ascii="Calibri" w:hAnsi="Calibri"/>
                <w:b/>
                <w:color w:val="E5484D"/>
                <w:sz w:val="22"/>
              </w:rPr>
              <w:t>MISS</w:t>
            </w:r>
          </w:p>
        </w:tc>
        <w:tc>
          <w:tcPr>
            <w:tcW w:type="dxa" w:w="960"/>
          </w:tcPr>
          <w:p>
            <w:r>
              <w:rPr>
                <w:rFonts w:ascii="Calibri" w:hAnsi="Calibri"/>
                <w:sz w:val="22"/>
              </w:rPr>
              <w:t>$1.690B</w:t>
            </w:r>
          </w:p>
        </w:tc>
        <w:tc>
          <w:tcPr>
            <w:tcW w:type="dxa" w:w="960"/>
          </w:tcPr>
          <w:p>
            <w:r>
              <w:rPr>
                <w:rFonts w:ascii="Calibri" w:hAnsi="Calibri"/>
                <w:sz w:val="22"/>
              </w:rPr>
              <w:t>$1.649B</w:t>
            </w:r>
          </w:p>
        </w:tc>
        <w:tc>
          <w:tcPr>
            <w:tcW w:type="dxa" w:w="960"/>
          </w:tcPr>
          <w:p>
            <w:r>
              <w:rPr>
                <w:rFonts w:ascii="Calibri" w:hAnsi="Calibri"/>
                <w:b/>
                <w:color w:val="30A46C"/>
                <w:sz w:val="22"/>
              </w:rPr>
              <w:t>+2.5%</w:t>
            </w:r>
          </w:p>
        </w:tc>
        <w:tc>
          <w:tcPr>
            <w:tcW w:type="dxa" w:w="960"/>
          </w:tcPr>
          <w:p>
            <w:r>
              <w:rPr>
                <w:rFonts w:ascii="Calibri" w:hAnsi="Calibri"/>
                <w:b/>
                <w:color w:val="30A46C"/>
                <w:sz w:val="22"/>
              </w:rPr>
              <w:t>BEAT</w:t>
            </w:r>
          </w:p>
        </w:tc>
      </w:tr>
      <w:tr>
        <w:tc>
          <w:tcPr>
            <w:tcW w:type="dxa" w:w="960"/>
          </w:tcPr>
          <w:p>
            <w:r>
              <w:rPr>
                <w:rFonts w:ascii="Calibri" w:hAnsi="Calibri"/>
                <w:sz w:val="22"/>
              </w:rPr>
              <w:t>Q2 2024</w:t>
            </w:r>
          </w:p>
        </w:tc>
        <w:tc>
          <w:tcPr>
            <w:tcW w:type="dxa" w:w="960"/>
          </w:tcPr>
          <w:p>
            <w:r>
              <w:rPr>
                <w:rFonts w:ascii="Calibri" w:hAnsi="Calibri"/>
                <w:sz w:val="22"/>
              </w:rPr>
              <w:t>$39.95B</w:t>
            </w:r>
          </w:p>
        </w:tc>
        <w:tc>
          <w:tcPr>
            <w:tcW w:type="dxa" w:w="960"/>
          </w:tcPr>
          <w:p>
            <w:r>
              <w:rPr>
                <w:rFonts w:ascii="Calibri" w:hAnsi="Calibri"/>
                <w:sz w:val="22"/>
              </w:rPr>
              <w:t>$39.69B</w:t>
            </w:r>
          </w:p>
        </w:tc>
        <w:tc>
          <w:tcPr>
            <w:tcW w:type="dxa" w:w="960"/>
          </w:tcPr>
          <w:p>
            <w:r>
              <w:rPr>
                <w:rFonts w:ascii="Calibri" w:hAnsi="Calibri"/>
                <w:b/>
                <w:color w:val="30A46C"/>
                <w:sz w:val="22"/>
              </w:rPr>
              <w:t>+0.7%</w:t>
            </w:r>
          </w:p>
        </w:tc>
        <w:tc>
          <w:tcPr>
            <w:tcW w:type="dxa" w:w="960"/>
          </w:tcPr>
          <w:p>
            <w:r>
              <w:rPr>
                <w:rFonts w:ascii="Calibri" w:hAnsi="Calibri"/>
                <w:b/>
                <w:color w:val="30A46C"/>
                <w:sz w:val="22"/>
              </w:rPr>
              <w:t>BEAT</w:t>
            </w:r>
          </w:p>
        </w:tc>
        <w:tc>
          <w:tcPr>
            <w:tcW w:type="dxa" w:w="960"/>
          </w:tcPr>
          <w:p>
            <w:r>
              <w:rPr>
                <w:rFonts w:ascii="Calibri" w:hAnsi="Calibri"/>
                <w:sz w:val="22"/>
              </w:rPr>
              <w:t>$1.570B</w:t>
            </w:r>
          </w:p>
        </w:tc>
        <w:tc>
          <w:tcPr>
            <w:tcW w:type="dxa" w:w="960"/>
          </w:tcPr>
          <w:p>
            <w:r>
              <w:rPr>
                <w:rFonts w:ascii="Calibri" w:hAnsi="Calibri"/>
                <w:sz w:val="22"/>
              </w:rPr>
              <w:t>$1.502B</w:t>
            </w:r>
          </w:p>
        </w:tc>
        <w:tc>
          <w:tcPr>
            <w:tcW w:type="dxa" w:w="960"/>
          </w:tcPr>
          <w:p>
            <w:r>
              <w:rPr>
                <w:rFonts w:ascii="Calibri" w:hAnsi="Calibri"/>
                <w:b/>
                <w:color w:val="30A46C"/>
                <w:sz w:val="22"/>
              </w:rPr>
              <w:t>+4.5%</w:t>
            </w:r>
          </w:p>
        </w:tc>
        <w:tc>
          <w:tcPr>
            <w:tcW w:type="dxa" w:w="960"/>
          </w:tcPr>
          <w:p>
            <w:r>
              <w:rPr>
                <w:rFonts w:ascii="Calibri" w:hAnsi="Calibri"/>
                <w:b/>
                <w:color w:val="30A46C"/>
                <w:sz w:val="22"/>
              </w:rPr>
              <w:t>BEAT</w:t>
            </w:r>
          </w:p>
        </w:tc>
      </w:tr>
    </w:tbl>
    <w:p>
      <w:r>
        <w:rPr>
          <w:rFonts w:ascii="Calibri" w:hAnsi="Calibri"/>
          <w:i/>
          <w:color w:val="525866"/>
          <w:sz w:val="22"/>
        </w:rPr>
        <w:t xml:space="preserve">Source: Visible Alpha Consensus and Actuals Data. </w:t>
      </w:r>
      <w:r>
        <w:rPr>
          <w:rFonts w:ascii="Calibri" w:hAnsi="Calibri"/>
          <w:i/>
          <w:color w:val="525866"/>
          <w:sz w:val="22"/>
        </w:rPr>
        <w:t>Pattern: UBER has beaten gross bookings consensus in 6 of the last 8 quarters and adjusted EBITDA in 6 of 8, with misses concentrated in Q3 2024 and Q1 2025 (gross bookings) and Q3 2025 and Q4 2024 (EBITDA) — a consistent but not dominant beat cadence that keeps the bar honest.</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Management's posture has grown meaningfully more confident since the Q4 2025 call — the Q1 2026 print and Bernstein conference both reinforced conviction in U.S. Mobility acceleration, and the Q2 gross bookings guidance range of 18–22% came in above Street expectations. No formal guidance revisions have been issued post-Q1, but the Delivery Hero acquisition announcement on July 16 introduces a new variable around capital allocation and leverage.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May 6,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Q2 2026 Gross Bookings Growth (YoY)</w:t>
            </w:r>
          </w:p>
        </w:tc>
        <w:tc>
          <w:tcPr>
            <w:tcW w:type="dxa" w:w="1728"/>
          </w:tcPr>
          <w:p>
            <w:r>
              <w:rPr>
                <w:rFonts w:ascii="Calibri" w:hAnsi="Calibri"/>
                <w:sz w:val="22"/>
              </w:rPr>
              <w:t>18–22% YoY (above Street expectations at time of print)</w:t>
            </w:r>
          </w:p>
        </w:tc>
        <w:tc>
          <w:tcPr>
            <w:tcW w:type="dxa" w:w="1728"/>
          </w:tcPr>
          <w:p>
            <w:r>
              <w:rPr>
                <w:rFonts w:ascii="Calibri" w:hAnsi="Calibri"/>
                <w:sz w:val="22"/>
              </w:rPr>
              <w:t>—</w:t>
            </w:r>
          </w:p>
        </w:tc>
        <w:tc>
          <w:tcPr>
            <w:tcW w:type="dxa" w:w="1728"/>
          </w:tcPr>
          <w:p>
            <w:r>
              <w:rPr>
                <w:rFonts w:ascii="Calibri" w:hAnsi="Calibri"/>
                <w:sz w:val="22"/>
              </w:rPr>
              <w:t>~22.4% YoY ($57.24B)</w:t>
            </w:r>
          </w:p>
        </w:tc>
        <w:tc>
          <w:tcPr>
            <w:tcW w:type="dxa" w:w="1728"/>
          </w:tcPr>
          <w:p>
            <w:r>
              <w:rPr>
                <w:rFonts w:ascii="Calibri" w:hAnsi="Calibri"/>
                <w:sz w:val="22"/>
              </w:rPr>
              <w:t>Guidance came in above Street at Q1 print; no post-earnings revision. Consensus sits at top of guided range.</w:t>
            </w:r>
          </w:p>
        </w:tc>
      </w:tr>
      <w:tr>
        <w:tc>
          <w:tcPr>
            <w:tcW w:type="dxa" w:w="1728"/>
          </w:tcPr>
          <w:p>
            <w:r>
              <w:rPr>
                <w:rFonts w:ascii="Calibri" w:hAnsi="Calibri"/>
                <w:sz w:val="22"/>
              </w:rPr>
              <w:t>Q2 2026 Adjusted EBITDA</w:t>
            </w:r>
          </w:p>
        </w:tc>
        <w:tc>
          <w:tcPr>
            <w:tcW w:type="dxa" w:w="1728"/>
          </w:tcPr>
          <w:p>
            <w:r>
              <w:rPr>
                <w:rFonts w:ascii="Calibri" w:hAnsi="Calibri"/>
                <w:sz w:val="22"/>
              </w:rPr>
              <w:t>Above Street expectations (specific range not disclosed in source documents)</w:t>
            </w:r>
          </w:p>
        </w:tc>
        <w:tc>
          <w:tcPr>
            <w:tcW w:type="dxa" w:w="1728"/>
          </w:tcPr>
          <w:p>
            <w:r>
              <w:rPr>
                <w:rFonts w:ascii="Calibri" w:hAnsi="Calibri"/>
                <w:sz w:val="22"/>
              </w:rPr>
              <w:t>—</w:t>
            </w:r>
          </w:p>
        </w:tc>
        <w:tc>
          <w:tcPr>
            <w:tcW w:type="dxa" w:w="1728"/>
          </w:tcPr>
          <w:p>
            <w:r>
              <w:rPr>
                <w:rFonts w:ascii="Calibri" w:hAnsi="Calibri"/>
                <w:sz w:val="22"/>
              </w:rPr>
              <w:t>$2.761B</w:t>
            </w:r>
          </w:p>
        </w:tc>
        <w:tc>
          <w:tcPr>
            <w:tcW w:type="dxa" w:w="1728"/>
          </w:tcPr>
          <w:p>
            <w:r>
              <w:rPr>
                <w:rFonts w:ascii="Calibri" w:hAnsi="Calibri"/>
                <w:sz w:val="22"/>
              </w:rPr>
              <w:t>Guided above Street at Q1 print; management committed to annual margin expansion. No post-earnings revision.</w:t>
            </w:r>
          </w:p>
        </w:tc>
      </w:tr>
      <w:tr>
        <w:tc>
          <w:tcPr>
            <w:tcW w:type="dxa" w:w="1728"/>
          </w:tcPr>
          <w:p>
            <w:r>
              <w:rPr>
                <w:rFonts w:ascii="Calibri" w:hAnsi="Calibri"/>
                <w:sz w:val="22"/>
              </w:rPr>
              <w:t>FY 2026 Gross Bookings</w:t>
            </w:r>
          </w:p>
        </w:tc>
        <w:tc>
          <w:tcPr>
            <w:tcW w:type="dxa" w:w="1728"/>
          </w:tcPr>
          <w:p>
            <w:r>
              <w:rPr>
                <w:rFonts w:ascii="Calibri" w:hAnsi="Calibri"/>
                <w:sz w:val="22"/>
              </w:rPr>
              <w:t>Mid-to-high teens growth framework (multi-year target)</w:t>
            </w:r>
          </w:p>
        </w:tc>
        <w:tc>
          <w:tcPr>
            <w:tcW w:type="dxa" w:w="1728"/>
          </w:tcPr>
          <w:p>
            <w:r>
              <w:rPr>
                <w:rFonts w:ascii="Calibri" w:hAnsi="Calibri"/>
                <w:sz w:val="22"/>
              </w:rPr>
              <w:t>—</w:t>
            </w:r>
          </w:p>
        </w:tc>
        <w:tc>
          <w:tcPr>
            <w:tcW w:type="dxa" w:w="1728"/>
          </w:tcPr>
          <w:p>
            <w:r>
              <w:rPr>
                <w:rFonts w:ascii="Calibri" w:hAnsi="Calibri"/>
                <w:sz w:val="22"/>
              </w:rPr>
              <w:t>$234.3B</w:t>
            </w:r>
          </w:p>
        </w:tc>
        <w:tc>
          <w:tcPr>
            <w:tcW w:type="dxa" w:w="1728"/>
          </w:tcPr>
          <w:p>
            <w:r>
              <w:rPr>
                <w:rFonts w:ascii="Calibri" w:hAnsi="Calibri"/>
                <w:sz w:val="22"/>
              </w:rPr>
              <w:t>Bernstein (May 28): CFO reiterated “mid- to high teens top-line trend line”; no change to framework.</w:t>
            </w:r>
          </w:p>
        </w:tc>
      </w:tr>
      <w:tr>
        <w:tc>
          <w:tcPr>
            <w:tcW w:type="dxa" w:w="1728"/>
          </w:tcPr>
          <w:p>
            <w:r>
              <w:rPr>
                <w:rFonts w:ascii="Calibri" w:hAnsi="Calibri"/>
                <w:sz w:val="22"/>
              </w:rPr>
              <w:t>U.S. Mobility Acceleration</w:t>
            </w:r>
          </w:p>
        </w:tc>
        <w:tc>
          <w:tcPr>
            <w:tcW w:type="dxa" w:w="1728"/>
          </w:tcPr>
          <w:p>
            <w:r>
              <w:rPr>
                <w:rFonts w:ascii="Calibri" w:hAnsi="Calibri"/>
                <w:sz w:val="22"/>
              </w:rPr>
              <w:t>Expect acceleration in 2026 vs. 2025; “hundreds of millions” in insurance savings to be passed to consumers</w:t>
            </w:r>
          </w:p>
        </w:tc>
        <w:tc>
          <w:tcPr>
            <w:tcW w:type="dxa" w:w="1728"/>
          </w:tcPr>
          <w:p>
            <w:r>
              <w:rPr>
                <w:rFonts w:ascii="Calibri" w:hAnsi="Calibri"/>
                <w:sz w:val="22"/>
              </w:rPr>
              <w:t>—</w:t>
            </w:r>
          </w:p>
        </w:tc>
        <w:tc>
          <w:tcPr>
            <w:tcW w:type="dxa" w:w="1728"/>
          </w:tcPr>
          <w:p>
            <w:r>
              <w:rPr>
                <w:rFonts w:ascii="Calibri" w:hAnsi="Calibri"/>
                <w:sz w:val="22"/>
              </w:rPr>
              <w:t>N/A (operating metric, not consensus-tracked)</w:t>
            </w:r>
          </w:p>
        </w:tc>
        <w:tc>
          <w:tcPr>
            <w:tcW w:type="dxa" w:w="1728"/>
          </w:tcPr>
          <w:p>
            <w:r>
              <w:rPr>
                <w:rFonts w:ascii="Calibri" w:hAnsi="Calibri"/>
                <w:sz w:val="22"/>
              </w:rPr>
              <w:t>↑ More confident at Bernstein (May 28): rate renegotiations concluded in March at “low single-digit %” increases — most benign in years; LA trip growth now strongest in country.</w:t>
            </w:r>
          </w:p>
        </w:tc>
      </w:tr>
      <w:tr>
        <w:tc>
          <w:tcPr>
            <w:tcW w:type="dxa" w:w="1728"/>
          </w:tcPr>
          <w:p>
            <w:r>
              <w:rPr>
                <w:rFonts w:ascii="Calibri" w:hAnsi="Calibri"/>
                <w:sz w:val="22"/>
              </w:rPr>
              <w:t>Capital Allocation / Buybacks</w:t>
            </w:r>
          </w:p>
        </w:tc>
        <w:tc>
          <w:tcPr>
            <w:tcW w:type="dxa" w:w="1728"/>
          </w:tcPr>
          <w:p>
            <w:r>
              <w:rPr>
                <w:rFonts w:ascii="Calibri" w:hAnsi="Calibri"/>
                <w:sz w:val="22"/>
              </w:rPr>
              <w:t>Record $3B buyback in Q1; commitment to return excess capital; investment-grade rating maintained</w:t>
            </w:r>
          </w:p>
        </w:tc>
        <w:tc>
          <w:tcPr>
            <w:tcW w:type="dxa" w:w="1728"/>
          </w:tcPr>
          <w:p>
            <w:r>
              <w:rPr>
                <w:rFonts w:ascii="Calibri" w:hAnsi="Calibri"/>
                <w:sz w:val="22"/>
              </w:rPr>
              <w:t>Delivery Hero acquisition (July 16): ~€14B bridge facility; gross leverage to remain below 2x; buyback commitment unchanged per 8-K</w:t>
            </w:r>
          </w:p>
        </w:tc>
        <w:tc>
          <w:tcPr>
            <w:tcW w:type="dxa" w:w="1728"/>
          </w:tcPr>
          <w:p>
            <w:r>
              <w:rPr>
                <w:rFonts w:ascii="Calibri" w:hAnsi="Calibri"/>
                <w:sz w:val="22"/>
              </w:rPr>
              <w:t>N/A</w:t>
            </w:r>
          </w:p>
        </w:tc>
        <w:tc>
          <w:tcPr>
            <w:tcW w:type="dxa" w:w="1728"/>
          </w:tcPr>
          <w:p>
            <w:r>
              <w:rPr>
                <w:rFonts w:ascii="Calibri" w:hAnsi="Calibri"/>
                <w:sz w:val="22"/>
              </w:rPr>
              <w:t>↓ New variable: Delivery Hero deal introduces leverage and regulatory risk; management affirmed buyback program “unchanged” but market will scrutinize.</w:t>
            </w:r>
          </w:p>
        </w:tc>
      </w:tr>
      <w:tr>
        <w:tc>
          <w:tcPr>
            <w:tcW w:type="dxa" w:w="1728"/>
          </w:tcPr>
          <w:p>
            <w:r>
              <w:rPr>
                <w:rFonts w:ascii="Calibri" w:hAnsi="Calibri"/>
                <w:sz w:val="22"/>
              </w:rPr>
              <w:t>AV Deployment (15 cities by year-end)</w:t>
            </w:r>
          </w:p>
        </w:tc>
        <w:tc>
          <w:tcPr>
            <w:tcW w:type="dxa" w:w="1728"/>
          </w:tcPr>
          <w:p>
            <w:r>
              <w:rPr>
                <w:rFonts w:ascii="Calibri" w:hAnsi="Calibri"/>
                <w:sz w:val="22"/>
              </w:rPr>
              <w:t>On track for up to 15 cities by end of 2026; AV trips grew 10x YoY in Q1</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Bernstein (May 28): Zoox (Vegas/LA), Nuro (Bay Area by year-end), Wayve (Tokyo/London) all on track. CFO reiterated 5-year AV impact “relatively immaterial” vs. Uber’s global volumes.</w:t>
            </w:r>
          </w:p>
        </w:tc>
      </w:tr>
    </w:tbl>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Estimates for Q2 2026 and FY 2026 have been essentially stable since the Q1 print — gross bookings and adjusted EBITDA consensus moved only marginally (+0.04% and -0.01% respectively for Q2), confirming the Street has absorbed the guidance without over-revising. The gap between current consensus and the guided range is narrow, leaving limited cushion if execution disappoints but also suggesting the bar is not stretched.</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&amp; Period</w:t>
            </w:r>
          </w:p>
        </w:tc>
        <w:tc>
          <w:tcPr>
            <w:tcW w:type="dxa" w:w="1080"/>
            <w:shd w:val="clear" w:color="auto" w:fill="3B4259"/>
          </w:tcPr>
          <w:p>
            <w:r>
              <w:rPr>
                <w:rFonts w:ascii="Calibri" w:hAnsi="Calibri"/>
                <w:b/>
                <w:color w:val="FFFFFF"/>
                <w:sz w:val="22"/>
              </w:rPr>
              <w:t>Estimate ~5 Days Post Q1 Print (as of May 11, 2026)</w:t>
            </w:r>
          </w:p>
        </w:tc>
        <w:tc>
          <w:tcPr>
            <w:tcW w:type="dxa" w:w="1080"/>
            <w:shd w:val="clear" w:color="auto" w:fill="3B4259"/>
          </w:tcPr>
          <w:p>
            <w:r>
              <w:rPr>
                <w:rFonts w:ascii="Calibri" w:hAnsi="Calibri"/>
                <w:b/>
                <w:color w:val="FFFFFF"/>
                <w:sz w:val="22"/>
              </w:rPr>
              <w:t>Current Consensus</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Gross Bookings — Q2 2026</w:t>
            </w:r>
          </w:p>
        </w:tc>
        <w:tc>
          <w:tcPr>
            <w:tcW w:type="dxa" w:w="1080"/>
          </w:tcPr>
          <w:p>
            <w:r>
              <w:rPr>
                <w:rFonts w:ascii="Calibri" w:hAnsi="Calibri"/>
                <w:sz w:val="22"/>
              </w:rPr>
              <w:t>$57.22B</w:t>
            </w:r>
          </w:p>
        </w:tc>
        <w:tc>
          <w:tcPr>
            <w:tcW w:type="dxa" w:w="1080"/>
          </w:tcPr>
          <w:p>
            <w:r>
              <w:rPr>
                <w:rFonts w:ascii="Calibri" w:hAnsi="Calibri"/>
                <w:sz w:val="22"/>
              </w:rPr>
              <w:t>$57.24B</w:t>
            </w:r>
          </w:p>
        </w:tc>
        <w:tc>
          <w:tcPr>
            <w:tcW w:type="dxa" w:w="1080"/>
          </w:tcPr>
          <w:p>
            <w:r>
              <w:rPr>
                <w:rFonts w:ascii="Calibri" w:hAnsi="Calibri"/>
                <w:sz w:val="22"/>
              </w:rPr>
              <w:t>+0.04%</w:t>
            </w:r>
          </w:p>
        </w:tc>
        <w:tc>
          <w:tcPr>
            <w:tcW w:type="dxa" w:w="1080"/>
          </w:tcPr>
          <w:p>
            <w:r>
              <w:rPr>
                <w:rFonts w:ascii="Calibri" w:hAnsi="Calibri"/>
                <w:sz w:val="22"/>
              </w:rPr>
              <w:t>18–22% YoY (~$55.2–57.0B range)</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+0.4% above top of range</w:t>
            </w:r>
          </w:p>
        </w:tc>
      </w:tr>
      <w:tr>
        <w:tc>
          <w:tcPr>
            <w:tcW w:type="dxa" w:w="1080"/>
          </w:tcPr>
          <w:p>
            <w:r>
              <w:rPr>
                <w:rFonts w:ascii="Calibri" w:hAnsi="Calibri"/>
                <w:sz w:val="22"/>
              </w:rPr>
              <w:t>Gross Bookings — FY 2026</w:t>
            </w:r>
          </w:p>
        </w:tc>
        <w:tc>
          <w:tcPr>
            <w:tcW w:type="dxa" w:w="1080"/>
          </w:tcPr>
          <w:p>
            <w:r>
              <w:rPr>
                <w:rFonts w:ascii="Calibri" w:hAnsi="Calibri"/>
                <w:sz w:val="22"/>
              </w:rPr>
              <w:t>$233.99B</w:t>
            </w:r>
          </w:p>
        </w:tc>
        <w:tc>
          <w:tcPr>
            <w:tcW w:type="dxa" w:w="1080"/>
          </w:tcPr>
          <w:p>
            <w:r>
              <w:rPr>
                <w:rFonts w:ascii="Calibri" w:hAnsi="Calibri"/>
                <w:sz w:val="22"/>
              </w:rPr>
              <w:t>$234.30B</w:t>
            </w:r>
          </w:p>
        </w:tc>
        <w:tc>
          <w:tcPr>
            <w:tcW w:type="dxa" w:w="1080"/>
          </w:tcPr>
          <w:p>
            <w:r>
              <w:rPr>
                <w:rFonts w:ascii="Calibri" w:hAnsi="Calibri"/>
                <w:sz w:val="22"/>
              </w:rPr>
              <w:t>+0.13%</w:t>
            </w:r>
          </w:p>
        </w:tc>
        <w:tc>
          <w:tcPr>
            <w:tcW w:type="dxa" w:w="1080"/>
          </w:tcPr>
          <w:p>
            <w:r>
              <w:rPr>
                <w:rFonts w:ascii="Calibri" w:hAnsi="Calibri"/>
                <w:sz w:val="22"/>
              </w:rPr>
              <w:t>Mid-to-high teens growth framework</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Within framework</w:t>
            </w:r>
          </w:p>
        </w:tc>
      </w:tr>
      <w:tr>
        <w:tc>
          <w:tcPr>
            <w:tcW w:type="dxa" w:w="1080"/>
          </w:tcPr>
          <w:p>
            <w:r>
              <w:rPr>
                <w:rFonts w:ascii="Calibri" w:hAnsi="Calibri"/>
                <w:sz w:val="22"/>
              </w:rPr>
              <w:t>Adjusted EBITDA — Q2 2026</w:t>
            </w:r>
          </w:p>
        </w:tc>
        <w:tc>
          <w:tcPr>
            <w:tcW w:type="dxa" w:w="1080"/>
          </w:tcPr>
          <w:p>
            <w:r>
              <w:rPr>
                <w:rFonts w:ascii="Calibri" w:hAnsi="Calibri"/>
                <w:sz w:val="22"/>
              </w:rPr>
              <w:t>$2.761B</w:t>
            </w:r>
          </w:p>
        </w:tc>
        <w:tc>
          <w:tcPr>
            <w:tcW w:type="dxa" w:w="1080"/>
          </w:tcPr>
          <w:p>
            <w:r>
              <w:rPr>
                <w:rFonts w:ascii="Calibri" w:hAnsi="Calibri"/>
                <w:sz w:val="22"/>
              </w:rPr>
              <w:t>$2.761B</w:t>
            </w:r>
          </w:p>
        </w:tc>
        <w:tc>
          <w:tcPr>
            <w:tcW w:type="dxa" w:w="1080"/>
          </w:tcPr>
          <w:p>
            <w:r>
              <w:rPr>
                <w:rFonts w:ascii="Calibri" w:hAnsi="Calibri"/>
                <w:sz w:val="22"/>
              </w:rPr>
              <w:t>-0.01%</w:t>
            </w:r>
          </w:p>
        </w:tc>
        <w:tc>
          <w:tcPr>
            <w:tcW w:type="dxa" w:w="1080"/>
          </w:tcPr>
          <w:p>
            <w:r>
              <w:rPr>
                <w:rFonts w:ascii="Calibri" w:hAnsi="Calibri"/>
                <w:sz w:val="22"/>
              </w:rPr>
              <w:t>Above Street at Q1 print (no specific range in source docs)</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 — no specific range disclosed</w:t>
            </w:r>
          </w:p>
        </w:tc>
      </w:tr>
      <w:tr>
        <w:tc>
          <w:tcPr>
            <w:tcW w:type="dxa" w:w="1080"/>
          </w:tcPr>
          <w:p>
            <w:r>
              <w:rPr>
                <w:rFonts w:ascii="Calibri" w:hAnsi="Calibri"/>
                <w:sz w:val="22"/>
              </w:rPr>
              <w:t>Adjusted EBITDA — FY 2026</w:t>
            </w:r>
          </w:p>
        </w:tc>
        <w:tc>
          <w:tcPr>
            <w:tcW w:type="dxa" w:w="1080"/>
          </w:tcPr>
          <w:p>
            <w:r>
              <w:rPr>
                <w:rFonts w:ascii="Calibri" w:hAnsi="Calibri"/>
                <w:sz w:val="22"/>
              </w:rPr>
              <w:t>$11.285B</w:t>
            </w:r>
          </w:p>
        </w:tc>
        <w:tc>
          <w:tcPr>
            <w:tcW w:type="dxa" w:w="1080"/>
          </w:tcPr>
          <w:p>
            <w:r>
              <w:rPr>
                <w:rFonts w:ascii="Calibri" w:hAnsi="Calibri"/>
                <w:sz w:val="22"/>
              </w:rPr>
              <w:t>$11.285B</w:t>
            </w:r>
          </w:p>
        </w:tc>
        <w:tc>
          <w:tcPr>
            <w:tcW w:type="dxa" w:w="1080"/>
          </w:tcPr>
          <w:p>
            <w:r>
              <w:rPr>
                <w:rFonts w:ascii="Calibri" w:hAnsi="Calibri"/>
                <w:sz w:val="22"/>
              </w:rPr>
              <w:t>0.00%</w:t>
            </w:r>
          </w:p>
        </w:tc>
        <w:tc>
          <w:tcPr>
            <w:tcW w:type="dxa" w:w="1080"/>
          </w:tcPr>
          <w:p>
            <w:r>
              <w:rPr>
                <w:rFonts w:ascii="Calibri" w:hAnsi="Calibri"/>
                <w:sz w:val="22"/>
              </w:rPr>
              <w:t>Annual margin expansion committed</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Revenue — Q2 2026</w:t>
            </w:r>
          </w:p>
        </w:tc>
        <w:tc>
          <w:tcPr>
            <w:tcW w:type="dxa" w:w="1080"/>
          </w:tcPr>
          <w:p>
            <w:r>
              <w:rPr>
                <w:rFonts w:ascii="Calibri" w:hAnsi="Calibri"/>
                <w:sz w:val="22"/>
              </w:rPr>
              <w:t>$14.20B</w:t>
            </w:r>
          </w:p>
        </w:tc>
        <w:tc>
          <w:tcPr>
            <w:tcW w:type="dxa" w:w="1080"/>
          </w:tcPr>
          <w:p>
            <w:r>
              <w:rPr>
                <w:rFonts w:ascii="Calibri" w:hAnsi="Calibri"/>
                <w:sz w:val="22"/>
              </w:rPr>
              <w:t>$14.24B</w:t>
            </w:r>
          </w:p>
        </w:tc>
        <w:tc>
          <w:tcPr>
            <w:tcW w:type="dxa" w:w="1080"/>
          </w:tcPr>
          <w:p>
            <w:r>
              <w:rPr>
                <w:rFonts w:ascii="Calibri" w:hAnsi="Calibri"/>
                <w:sz w:val="22"/>
              </w:rPr>
              <w:t>+0.24%</w:t>
            </w:r>
          </w:p>
        </w:tc>
        <w:tc>
          <w:tcPr>
            <w:tcW w:type="dxa" w:w="1080"/>
          </w:tcPr>
          <w:p>
            <w:r>
              <w:rPr>
                <w:rFonts w:ascii="Calibri" w:hAnsi="Calibri"/>
                <w:sz w:val="22"/>
              </w:rPr>
              <w:t>No explicit guidance</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EPS (Diluted Operating) — Q2 2026</w:t>
            </w:r>
          </w:p>
        </w:tc>
        <w:tc>
          <w:tcPr>
            <w:tcW w:type="dxa" w:w="1080"/>
          </w:tcPr>
          <w:p>
            <w:r>
              <w:rPr>
                <w:rFonts w:ascii="Calibri" w:hAnsi="Calibri"/>
                <w:sz w:val="22"/>
              </w:rPr>
              <w:t>$0.803</w:t>
            </w:r>
          </w:p>
        </w:tc>
        <w:tc>
          <w:tcPr>
            <w:tcW w:type="dxa" w:w="1080"/>
          </w:tcPr>
          <w:p>
            <w:r>
              <w:rPr>
                <w:rFonts w:ascii="Calibri" w:hAnsi="Calibri"/>
                <w:sz w:val="22"/>
              </w:rPr>
              <w:t>$0.804</w:t>
            </w:r>
          </w:p>
        </w:tc>
        <w:tc>
          <w:tcPr>
            <w:tcW w:type="dxa" w:w="1080"/>
          </w:tcPr>
          <w:p>
            <w:r>
              <w:rPr>
                <w:rFonts w:ascii="Calibri" w:hAnsi="Calibri"/>
                <w:sz w:val="22"/>
              </w:rPr>
              <w:t>+0.19%</w:t>
            </w:r>
          </w:p>
        </w:tc>
        <w:tc>
          <w:tcPr>
            <w:tcW w:type="dxa" w:w="1080"/>
          </w:tcPr>
          <w:p>
            <w:r>
              <w:rPr>
                <w:rFonts w:ascii="Calibri" w:hAnsi="Calibri"/>
                <w:sz w:val="22"/>
              </w:rPr>
              <w:t>No explicit guidance</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bl>
    <w:p>
      <w:r>
        <w:rPr>
          <w:rFonts w:ascii="Calibri" w:hAnsi="Calibri"/>
          <w:i/>
          <w:color w:val="525866"/>
          <w:sz w:val="22"/>
        </w:rPr>
        <w:t>Source: Visible Alpha Consensus and Actuals Data. Baseline (as of May 11, 2026) represents consensus approximately 5 trading days after the Q1 2026 earnings print on May 6, 2026. Gross bookings guidance range for Q2 2026 derived by applying 18–22% growth to Q2 2025 actual of $46.76B.</w:t>
      </w:r>
    </w:p>
    <w:p>
      <w:r>
        <w:rPr>
          <w:rFonts w:ascii="Calibri" w:hAnsi="Calibri"/>
          <w:color w:val="525866"/>
          <w:sz w:val="22"/>
        </w:rPr>
        <w:t>Estimates have been remarkably stable since the Q1 print, with virtually no revision across all key KPIs — a sign the Street has high conviction in the guided range and is not pricing in incremental upside or downside. The Delivery Hero acquisition (announced July 16) has not yet been reflected in consensus estimates, as the deal is expected to close in H2 2027; any near-term estimate impact would be limited to deal costs and financing charges.</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UBER has significantly underperformed since the Q1 2026 earnings date — down </w:t>
      </w:r>
      <w:r>
        <w:rPr>
          <w:rFonts w:ascii="Calibri" w:hAnsi="Calibri"/>
          <w:b/>
          <w:color w:val="525866"/>
          <w:sz w:val="22"/>
        </w:rPr>
        <w:t>-9.1%</w:t>
      </w:r>
      <w:r>
        <w:rPr>
          <w:rFonts w:ascii="Calibri" w:hAnsi="Calibri"/>
          <w:color w:val="525866"/>
          <w:sz w:val="22"/>
        </w:rPr>
        <w:t xml:space="preserve"> vs. XLC (Communication Services ETF) -4.5% and S&amp;P 500 +5.1% — driven primarily by the Delivery Hero acquisition announcement on July 16 which raised concerns about leverage and capital allocation, not by any deterioration in operating fundamentals. The stock has not priced in a beat, creating asymmetric upside if Q2 execution is clean.</w:t>
      </w:r>
    </w:p>
    <w:p>
      <w:r>
        <w:drawing>
          <wp:inline xmlns:a="http://schemas.openxmlformats.org/drawingml/2006/main" xmlns:pic="http://schemas.openxmlformats.org/drawingml/2006/picture">
            <wp:extent cx="5943600" cy="4245429"/>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5943600" cy="4245429"/>
                    </a:xfrm>
                    <a:prstGeom prst="rect"/>
                  </pic:spPr>
                </pic:pic>
              </a:graphicData>
            </a:graphic>
          </wp:inline>
        </w:drawing>
      </w:r>
    </w:p>
    <w:p>
      <w:pPr>
        <w:jc w:val="center"/>
      </w:pPr>
      <w:r>
        <w:rPr>
          <w:i/>
          <w:color w:val="666666"/>
          <w:sz w:val="18"/>
        </w:rPr>
        <w:t>UBER vs. XLC (Communication Services ETF) vs. S&amp;P 500 — Indexed to 100 at Q1 2026 Earnings Date (May 6, 2026). Source: Yahoo Finance / Stock Price Data.</w:t>
      </w:r>
    </w:p>
    <w:p>
      <w:r>
        <w:rPr>
          <w:rFonts w:ascii="Calibri" w:hAnsi="Calibri"/>
          <w:b/>
          <w:color w:val="525866"/>
          <w:sz w:val="22"/>
        </w:rPr>
        <w:t xml:space="preserve">Sector ETF: </w:t>
      </w:r>
      <w:r>
        <w:rPr>
          <w:rFonts w:ascii="Calibri" w:hAnsi="Calibri"/>
          <w:color w:val="525866"/>
          <w:sz w:val="22"/>
        </w:rPr>
        <w:t>XLC (Communication Services Select Sector SPDR ETF) was selected as the comparator given Uber's classification in the Communication Services sector and its platform/marketplace business model. Key events marked on chart: Bernstein Conference (May 28), Jill Hazelbaker promotion to President (May 11), and Delivery Hero acquisition announcement (July 16).</w:t>
      </w:r>
    </w:p>
    <w:p>
      <w:r>
        <w:rPr>
          <w:rFonts w:ascii="Calibri" w:hAnsi="Calibri"/>
          <w:color w:val="525866"/>
          <w:sz w:val="22"/>
        </w:rPr>
        <w:t>The stock's underperformance is almost entirely attributable to the Delivery Hero deal announcement on July 16, which sent shares lower as investors weighed the ~€14B bridge facility, regulatory risk (H2 2027 close), and the shift from a pure buyback story to an M&amp;A-driven capital allocation narrative. Prior to the announcement, UBER had broadly tracked the XLC. The operating setup — stable estimates, above-consensus Q2 guidance, and continued U.S. Mobility acceleration — remains intact, suggesting the stock's weakness is sentiment-driven rather than fundamental.</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 xml:space="preserve">The dominant development since Q1 earnings is the </w:t>
      </w:r>
      <w:r>
        <w:rPr>
          <w:rFonts w:ascii="Calibri" w:hAnsi="Calibri"/>
          <w:b/>
          <w:color w:val="525866"/>
          <w:sz w:val="22"/>
        </w:rPr>
        <w:t>Delivery Hero acquisition announced July 16</w:t>
      </w:r>
      <w:r>
        <w:rPr>
          <w:rFonts w:ascii="Calibri" w:hAnsi="Calibri"/>
          <w:color w:val="525866"/>
          <w:sz w:val="22"/>
        </w:rPr>
        <w:t xml:space="preserve"> — a $14.8B deal that transforms Uber's capital allocation story and expands its delivery footprint to 99 markets, but introduces meaningful regulatory and leverage risk that the market has not yet fully digested heading into the Q2 print.</w:t>
      </w:r>
    </w:p>
    <w:p>
      <w:pPr>
        <w:pStyle w:val="ListBullet"/>
        <w:ind w:left="360" w:hanging="360"/>
      </w:pPr>
      <w:r>
        <w:rPr>
          <w:rFonts w:ascii="Calibri" w:hAnsi="Calibri"/>
          <w:b/>
          <w:color w:val="525866"/>
          <w:sz w:val="22"/>
        </w:rPr>
        <w:t>July 16, 2026 — Delivery Hero Acquisition Announced (8-K):</w:t>
      </w:r>
      <w:r>
        <w:rPr>
          <w:rFonts w:ascii="Calibri" w:hAnsi="Calibri"/>
          <w:color w:val="525866"/>
          <w:sz w:val="22"/>
        </w:rPr>
        <w:t xml:space="preserve"> Uber entered into a Business Combination Agreement to acquire Delivery Hero via a voluntary public takeover offer at €41.50/share (~$14.8B equity value, or $13.7B adjusted for prior stake purchases). Uber already held ~37% economic exposure (24.77% direct + ~11.74% via equity derivatives). Prosus irrevocably committed to tender its ~17% stake, bringing Uber's total economic interest to ~53%. Deal financed via existing cash and a ~€14B bridge facility; gross leverage to remain below 2x. Closing expected H2 2027, subject to regulatory approvals. </w:t>
      </w:r>
      <w:r>
        <w:rPr>
          <w:rFonts w:ascii="Calibri" w:hAnsi="Calibri"/>
          <w:b/>
          <w:color w:val="525866"/>
          <w:sz w:val="22"/>
        </w:rPr>
        <w:t xml:space="preserve">Implication: </w:t>
      </w:r>
      <w:r>
        <w:rPr>
          <w:rFonts w:ascii="Calibri" w:hAnsi="Calibri"/>
          <w:color w:val="525866"/>
          <w:sz w:val="22"/>
        </w:rPr>
        <w:t>Strategically compelling (expands to 99 markets, adds 50M+ eligible cross-platform users, &gt;$1.2B run-rate synergies within 18 months), but introduces leverage, regulatory risk, and a narrative shift away from the buyback-driven capital return story. Management affirmed buyback program unchanged.</w:t>
      </w:r>
    </w:p>
    <w:p>
      <w:pPr>
        <w:pStyle w:val="ListBullet"/>
        <w:ind w:left="360" w:hanging="360"/>
      </w:pPr>
      <w:r>
        <w:rPr>
          <w:rFonts w:ascii="Calibri" w:hAnsi="Calibri"/>
          <w:b/>
          <w:color w:val="525866"/>
          <w:sz w:val="22"/>
        </w:rPr>
        <w:t>July 16, 2026 — Delivery Hero SSW Carve-Out:</w:t>
      </w:r>
      <w:r>
        <w:rPr>
          <w:rFonts w:ascii="Calibri" w:hAnsi="Calibri"/>
          <w:color w:val="525866"/>
          <w:sz w:val="22"/>
        </w:rPr>
        <w:t xml:space="preserve"> Delivery Hero separately agreed to sell 14 markets (Austria, Chile, Spain, Sweden, Turkey, and others) to SSW Partners for ~$1.6B (~$11B gross bookings). Uber will lend SSW funds to finance the majority of this transaction. </w:t>
      </w:r>
      <w:r>
        <w:rPr>
          <w:rFonts w:ascii="Calibri" w:hAnsi="Calibri"/>
          <w:b/>
          <w:color w:val="525866"/>
          <w:sz w:val="22"/>
        </w:rPr>
        <w:t xml:space="preserve">Implication: </w:t>
      </w:r>
      <w:r>
        <w:rPr>
          <w:rFonts w:ascii="Calibri" w:hAnsi="Calibri"/>
          <w:color w:val="525866"/>
          <w:sz w:val="22"/>
        </w:rPr>
        <w:t>Reduces regulatory overlap risk and focuses Uber's acquisition on the 50 markets with $42B in gross bookings where Uber does not already compete directly.</w:t>
      </w:r>
    </w:p>
    <w:p>
      <w:pPr>
        <w:pStyle w:val="ListBullet"/>
        <w:ind w:left="360" w:hanging="360"/>
      </w:pPr>
      <w:r>
        <w:rPr>
          <w:rFonts w:ascii="Calibri" w:hAnsi="Calibri"/>
          <w:b/>
          <w:color w:val="525866"/>
          <w:sz w:val="22"/>
        </w:rPr>
        <w:t>July 13, 2026 — Q2 2026 Earnings Call Date Announced:</w:t>
      </w:r>
      <w:r>
        <w:rPr>
          <w:rFonts w:ascii="Calibri" w:hAnsi="Calibri"/>
          <w:color w:val="525866"/>
          <w:sz w:val="22"/>
        </w:rPr>
        <w:t xml:space="preserve"> Uber announced the date of its Q2 2026 results conference call. Specific date not disclosed in source documents.</w:t>
      </w:r>
    </w:p>
    <w:p>
      <w:pPr>
        <w:pStyle w:val="ListBullet"/>
        <w:ind w:left="360" w:hanging="360"/>
      </w:pPr>
      <w:r>
        <w:rPr>
          <w:rFonts w:ascii="Calibri" w:hAnsi="Calibri"/>
          <w:b/>
          <w:color w:val="525866"/>
          <w:sz w:val="22"/>
        </w:rPr>
        <w:t>May 28, 2026 — Bernstein Strategic Decisions Conference:</w:t>
      </w:r>
      <w:r>
        <w:rPr>
          <w:rFonts w:ascii="Calibri" w:hAnsi="Calibri"/>
          <w:color w:val="525866"/>
          <w:sz w:val="22"/>
        </w:rPr>
        <w:t xml:space="preserve"> CFO Balaji Krishnamurthy provided the most detailed post-Q1 update on key themes. Key incremental data points: (1) 95% of engineers now use AI tools; &gt;10% of production code autonomously written; hiring ramp for remainder of 2026 “significantly lower” than planned — AI productivity gains are now tangible enough to directly influence workforce planning. (2) Insurance rate renegotiations concluded in March at “low single-digit %” increases — most benign in years. (3) Delivery Hero: Uber has “a seat at the table” with its 37% stake; cost basis in the “low 30s” euros. (4) Q2 guidance reiterated at 18–22% gross bookings growth. </w:t>
      </w:r>
      <w:r>
        <w:rPr>
          <w:rFonts w:ascii="Calibri" w:hAnsi="Calibri"/>
          <w:b/>
          <w:color w:val="525866"/>
          <w:sz w:val="22"/>
        </w:rPr>
        <w:t xml:space="preserve">Implication: </w:t>
      </w:r>
      <w:r>
        <w:rPr>
          <w:rFonts w:ascii="Calibri" w:hAnsi="Calibri"/>
          <w:color w:val="525866"/>
          <w:sz w:val="22"/>
        </w:rPr>
        <w:t>Reinforces conviction in U.S. Mobility acceleration and AI-driven efficiency; Delivery Hero commentary foreshadowed the eventual deal.</w:t>
      </w:r>
    </w:p>
    <w:p>
      <w:pPr>
        <w:pStyle w:val="ListBullet"/>
        <w:ind w:left="360" w:hanging="360"/>
      </w:pPr>
      <w:r>
        <w:rPr>
          <w:rFonts w:ascii="Calibri" w:hAnsi="Calibri"/>
          <w:b/>
          <w:color w:val="525866"/>
          <w:sz w:val="22"/>
        </w:rPr>
        <w:t>May 11, 2026 — Jill Hazelbaker Elevated to President &amp; Chief Corporate Affairs Officer (8-K):</w:t>
      </w:r>
      <w:r>
        <w:rPr>
          <w:rFonts w:ascii="Calibri" w:hAnsi="Calibri"/>
          <w:color w:val="525866"/>
          <w:sz w:val="22"/>
        </w:rPr>
        <w:t xml:space="preserve"> Hazelbaker (previously CMO and SVP Communications &amp; Public Policy) assumed expanded role including former CPO Nikki Krishnamurthy’s responsibilities and oversight of Safety Operations. Received $3.75M RSU award and $1.25M stock option grant. CEO Dara Khosrowshahi cited the need for strong leadership “as we enter a period of rapid change — from advances in AI to the growth of autonomous vehicles.” </w:t>
      </w:r>
      <w:r>
        <w:rPr>
          <w:rFonts w:ascii="Calibri" w:hAnsi="Calibri"/>
          <w:b/>
          <w:color w:val="525866"/>
          <w:sz w:val="22"/>
        </w:rPr>
        <w:t xml:space="preserve">Implication: </w:t>
      </w:r>
      <w:r>
        <w:rPr>
          <w:rFonts w:ascii="Calibri" w:hAnsi="Calibri"/>
          <w:color w:val="525866"/>
          <w:sz w:val="22"/>
        </w:rPr>
        <w:t>Signals organizational consolidation ahead of a period of significant strategic change (AV deployment, Delivery Hero integration); CPO departure is a modest leadership risk to monitor.</w:t>
      </w:r>
    </w:p>
    <w:p>
      <w:pPr>
        <w:pStyle w:val="ListBullet"/>
        <w:ind w:left="360" w:hanging="360"/>
      </w:pPr>
      <w:r>
        <w:rPr>
          <w:rFonts w:ascii="Calibri" w:hAnsi="Calibri"/>
          <w:b/>
          <w:color w:val="525866"/>
          <w:sz w:val="22"/>
        </w:rPr>
        <w:t>May 8, 2026 — Annual Shareholder Meeting (8-K):</w:t>
      </w:r>
      <w:r>
        <w:rPr>
          <w:rFonts w:ascii="Calibri" w:hAnsi="Calibri"/>
          <w:color w:val="525866"/>
          <w:sz w:val="22"/>
        </w:rPr>
        <w:t xml:space="preserve"> Shareholders backed the board, executive pay, and opted for annual compensation votes. No material governance changes.</w:t>
      </w:r>
    </w:p>
    <w:p>
      <w:pPr>
        <w:pStyle w:val="ListBullet"/>
        <w:ind w:left="360" w:hanging="360"/>
      </w:pPr>
      <w:r>
        <w:rPr>
          <w:rFonts w:ascii="Calibri" w:hAnsi="Calibri"/>
          <w:b/>
          <w:color w:val="525866"/>
          <w:sz w:val="22"/>
        </w:rPr>
        <w:t>May 6, 2026 — Q1 2026 Earnings (Press Release / 8-K):</w:t>
      </w:r>
      <w:r>
        <w:rPr>
          <w:rFonts w:ascii="Calibri" w:hAnsi="Calibri"/>
          <w:color w:val="525866"/>
          <w:sz w:val="22"/>
        </w:rPr>
        <w:t xml:space="preserve"> Gross bookings +21% YoY; Mobility gross bookings accelerated to +20% with record margins; Delivery +23%; Non-GAAP EPS +44% YoY; record $3B buyback; Uber One surpassed 50M members (&gt;50% of gross bookings); freight returned to growth for first time in ~2 years. Q2 guidance above Street. </w:t>
      </w:r>
      <w:r>
        <w:rPr>
          <w:rFonts w:ascii="Calibri" w:hAnsi="Calibri"/>
          <w:b/>
          <w:color w:val="525866"/>
          <w:sz w:val="22"/>
        </w:rPr>
        <w:t xml:space="preserve">Implication: </w:t>
      </w:r>
      <w:r>
        <w:rPr>
          <w:rFonts w:ascii="Calibri" w:hAnsi="Calibri"/>
          <w:color w:val="525866"/>
          <w:sz w:val="22"/>
        </w:rPr>
        <w:t>Established a high-quality baseline and above-consensus Q2 guide that anchors current consensus.</w:t>
      </w:r>
    </w:p>
    <w:p>
      <w:r>
        <w:br w:type="page"/>
      </w:r>
    </w:p>
    <w:p>
      <w:pPr>
        <w:pStyle w:val="Heading2"/>
      </w:pPr>
      <w:r>
        <w:rPr>
          <w:rFonts w:ascii="Calibri" w:hAnsi="Calibri"/>
          <w:b/>
          <w:color w:val="3B4259"/>
          <w:sz w:val="28"/>
        </w:rPr>
        <w:t>7. Peer Commentaries — Q2 2026 Read-Throughs (Last 60 Days)</w:t>
      </w:r>
    </w:p>
    <w:p>
      <w:r>
        <w:rPr>
          <w:rFonts w:ascii="Calibri" w:hAnsi="Calibri"/>
          <w:b/>
          <w:color w:val="525866"/>
          <w:sz w:val="22"/>
        </w:rPr>
        <w:t xml:space="preserve">Key Takeaway: </w:t>
      </w:r>
      <w:r>
        <w:rPr>
          <w:rFonts w:ascii="Calibri" w:hAnsi="Calibri"/>
          <w:color w:val="525866"/>
          <w:sz w:val="22"/>
        </w:rPr>
        <w:t xml:space="preserve">The most relevant peer read-through for UBER’s Q2 2026 print comes from </w:t>
      </w:r>
      <w:r>
        <w:rPr>
          <w:rFonts w:ascii="Calibri" w:hAnsi="Calibri"/>
          <w:b/>
          <w:color w:val="525866"/>
          <w:sz w:val="22"/>
        </w:rPr>
        <w:t>Booking Holdings’ Q2 2026 earnings call (August 4, 2026)</w:t>
      </w:r>
      <w:r>
        <w:rPr>
          <w:rFonts w:ascii="Calibri" w:hAnsi="Calibri"/>
          <w:color w:val="525866"/>
          <w:sz w:val="22"/>
        </w:rPr>
        <w:t>, which reported healthy domestic and inter-regional travel demand despite Middle East-related headwinds on long-haul international travel — a net positive for Uber Mobility given its predominantly domestic and short-haul urban use case. No Lyft or DoorDash Q2 2026 earnings transcripts were available in the research database at time of preparation.</w:t>
      </w:r>
    </w:p>
    <w:p>
      <w:pPr>
        <w:pStyle w:val="Heading3"/>
      </w:pPr>
      <w:r>
        <w:rPr>
          <w:rFonts w:ascii="Calibri" w:hAnsi="Calibri"/>
          <w:b/>
          <w:color w:val="3B4259"/>
          <w:sz w:val="24"/>
        </w:rPr>
        <w:t>Booking Holdings (BKNG) — Q2 2026 Earnings Call (August 4, 2026)</w:t>
      </w:r>
    </w:p>
    <w:p>
      <w:r>
        <w:rPr>
          <w:rFonts w:ascii="Calibri" w:hAnsi="Calibri"/>
          <w:b/>
          <w:color w:val="525866"/>
          <w:sz w:val="22"/>
        </w:rPr>
        <w:t xml:space="preserve">Relevance to UBER: </w:t>
      </w:r>
      <w:r>
        <w:rPr>
          <w:rFonts w:ascii="Calibri" w:hAnsi="Calibri"/>
          <w:color w:val="525866"/>
          <w:sz w:val="22"/>
        </w:rPr>
        <w:t>BKNG is the world’s largest online travel platform and a direct read-through on consumer travel demand, willingness to spend on mobility, and the health of the broader travel ecosystem that Uber is actively expanding into (hotel bookings via Expedia partnership, Uber Reserve, travel integrations).</w:t>
      </w:r>
    </w:p>
    <w:p>
      <w:r>
        <w:rPr>
          <w:rFonts w:ascii="Calibri" w:hAnsi="Calibri"/>
          <w:color w:val="525866"/>
          <w:sz w:val="22"/>
        </w:rPr>
        <w:t>Key Read-Throughs for UBER Q2 2026:</w:t>
      </w:r>
    </w:p>
    <w:p>
      <w:pPr>
        <w:pStyle w:val="ListBullet"/>
        <w:ind w:left="360" w:hanging="360"/>
      </w:pPr>
      <w:r>
        <w:rPr>
          <w:rFonts w:ascii="Calibri" w:hAnsi="Calibri"/>
          <w:b/>
          <w:color w:val="525866"/>
          <w:sz w:val="22"/>
        </w:rPr>
        <w:t>Domestic travel demand remained healthy:</w:t>
      </w:r>
      <w:r>
        <w:rPr>
          <w:rFonts w:ascii="Calibri" w:hAnsi="Calibri"/>
          <w:color w:val="525866"/>
          <w:sz w:val="22"/>
        </w:rPr>
        <w:t xml:space="preserve"> BKNG reported domestic room nights grew “high single digits” in Q2 2026, with the U.S. growing “high single digits driven by domestic demand.” This is a direct positive read-through for Uber Mobility, which is predominantly a domestic, urban/suburban use case. If consumers are actively booking domestic travel, they are also likely using ride-hailing for airport transfers, local exploration, and daily commutes.</w:t>
      </w:r>
    </w:p>
    <w:p>
      <w:pPr>
        <w:pStyle w:val="ListBullet"/>
        <w:ind w:left="360" w:hanging="360"/>
      </w:pPr>
      <w:r>
        <w:rPr>
          <w:rFonts w:ascii="Calibri" w:hAnsi="Calibri"/>
          <w:b/>
          <w:color w:val="525866"/>
          <w:sz w:val="22"/>
        </w:rPr>
        <w:t>Consumer demand “remained resilient” despite macro uncertainty:</w:t>
      </w:r>
      <w:r>
        <w:rPr>
          <w:rFonts w:ascii="Calibri" w:hAnsi="Calibri"/>
          <w:color w:val="525866"/>
          <w:sz w:val="22"/>
        </w:rPr>
        <w:t xml:space="preserve"> BKNG CFO Eva Steenbergen stated “overall, consumer demand remained resilient in the quarter, although we observed some modest shifts in travel behavior.” CEO Glenn Fogel noted “the underlying desire to explore, connect, and experience the world is remarkably resilient.” This supports Uber’s thesis that trip demand is durable even in uncertain macro environments.</w:t>
      </w:r>
    </w:p>
    <w:p>
      <w:pPr>
        <w:pStyle w:val="ListBullet"/>
        <w:ind w:left="360" w:hanging="360"/>
      </w:pPr>
      <w:r>
        <w:rPr>
          <w:rFonts w:ascii="Calibri" w:hAnsi="Calibri"/>
          <w:b/>
          <w:color w:val="525866"/>
          <w:sz w:val="22"/>
        </w:rPr>
        <w:t>Pricing power intact:</w:t>
      </w:r>
      <w:r>
        <w:rPr>
          <w:rFonts w:ascii="Calibri" w:hAnsi="Calibri"/>
          <w:color w:val="525866"/>
          <w:sz w:val="22"/>
        </w:rPr>
        <w:t xml:space="preserve"> Constant currency ADR (average daily rate) increased ~2% YoY, “demonstrating continued pricing strength, primarily driven by Europe and the US.” Stable-to-rising travel pricing is consistent with Uber’s ability to maintain gross bookings per trip without volume compression.</w:t>
      </w:r>
    </w:p>
    <w:p>
      <w:pPr>
        <w:pStyle w:val="ListBullet"/>
        <w:ind w:left="360" w:hanging="360"/>
      </w:pPr>
      <w:r>
        <w:rPr>
          <w:rFonts w:ascii="Calibri" w:hAnsi="Calibri"/>
          <w:b/>
          <w:color w:val="525866"/>
          <w:sz w:val="22"/>
        </w:rPr>
        <w:t>Long-haul international travel pressured — limited direct read-through for UBER:</w:t>
      </w:r>
      <w:r>
        <w:rPr>
          <w:rFonts w:ascii="Calibri" w:hAnsi="Calibri"/>
          <w:color w:val="525866"/>
          <w:sz w:val="22"/>
        </w:rPr>
        <w:t xml:space="preserve"> BKNG noted long-haul international travel remained pressured by “elevated airline prices and reduced capacity due to the Middle East conflict.” This is largely irrelevant to Uber’s core Mobility business (short-haul urban trips) but could modestly weigh on Uber Reserve (pre-planned airport/travel rides) in affected corridors.</w:t>
      </w:r>
    </w:p>
    <w:p>
      <w:pPr>
        <w:pStyle w:val="ListBullet"/>
        <w:ind w:left="360" w:hanging="360"/>
      </w:pPr>
      <w:r>
        <w:rPr>
          <w:rFonts w:ascii="Calibri" w:hAnsi="Calibri"/>
          <w:b/>
          <w:color w:val="525866"/>
          <w:sz w:val="22"/>
        </w:rPr>
        <w:t>Travel demand normalizing in June and into July:</w:t>
      </w:r>
      <w:r>
        <w:rPr>
          <w:rFonts w:ascii="Calibri" w:hAnsi="Calibri"/>
          <w:color w:val="525866"/>
          <w:sz w:val="22"/>
        </w:rPr>
        <w:t xml:space="preserve"> BKNG noted that “both [booking window and length of stay] began to normalize in June” and that the Middle East situation “started to normalize more” in June, continuing into July. This is a positive leading indicator for Q3 2026 travel-adjacent demand, which would benefit Uber’s Reserve and travel-integrated products.</w:t>
      </w:r>
    </w:p>
    <w:p>
      <w:pPr>
        <w:pStyle w:val="ListBullet"/>
        <w:ind w:left="360" w:hanging="360"/>
      </w:pPr>
      <w:r>
        <w:rPr>
          <w:rFonts w:ascii="Calibri" w:hAnsi="Calibri"/>
          <w:b/>
          <w:color w:val="525866"/>
          <w:sz w:val="22"/>
        </w:rPr>
        <w:t>Connected trip transactions growing “low double digits”:</w:t>
      </w:r>
      <w:r>
        <w:rPr>
          <w:rFonts w:ascii="Calibri" w:hAnsi="Calibri"/>
          <w:color w:val="525866"/>
          <w:sz w:val="22"/>
        </w:rPr>
        <w:t xml:space="preserve"> BKNG’s connected trip transactions (multi-vertical bookings for the same trip) grew in the low double-digit range, more than twice total transaction growth, and now represent a “low double-digit percentage” of Booking.com’s total transactions. This validates Uber’s own cross-platform strategy (Uber One, hotel bookings via Expedia, One Search) — consumers are increasingly willing to bundle travel services on a single platform.</w:t>
      </w:r>
    </w:p>
    <w:p>
      <w:pPr>
        <w:pStyle w:val="ListBullet"/>
        <w:ind w:left="360" w:hanging="360"/>
      </w:pPr>
      <w:r>
        <w:rPr>
          <w:rFonts w:ascii="Calibri" w:hAnsi="Calibri"/>
          <w:b/>
          <w:color w:val="525866"/>
          <w:sz w:val="22"/>
        </w:rPr>
        <w:t>BKNG Q3 2026 guidance: room nights +3–5%, gross bookings/revenue/EBITDA each +4–6%:</w:t>
      </w:r>
      <w:r>
        <w:rPr>
          <w:rFonts w:ascii="Calibri" w:hAnsi="Calibri"/>
          <w:color w:val="525866"/>
          <w:sz w:val="22"/>
        </w:rPr>
        <w:t xml:space="preserve"> Modest deceleration expected in Q3 due to Middle East headwinds persisting through the quarter. For Uber, this suggests the travel macro backdrop remains supportive but not accelerating — consistent with Uber’s own mid-to-high teens gross bookings growth framework.</w:t>
      </w:r>
    </w:p>
    <w:p>
      <w:pPr>
        <w:pStyle w:val="Heading3"/>
      </w:pPr>
      <w:r>
        <w:rPr>
          <w:rFonts w:ascii="Calibri" w:hAnsi="Calibri"/>
          <w:b/>
          <w:color w:val="3B4259"/>
          <w:sz w:val="24"/>
        </w:rPr>
        <w:t>Booking Holdings (BKNG) — JP Morgan TMC Conference (May 20, 2026)</w:t>
      </w:r>
    </w:p>
    <w:p>
      <w:r>
        <w:rPr>
          <w:rFonts w:ascii="Calibri" w:hAnsi="Calibri"/>
          <w:b/>
          <w:color w:val="525866"/>
          <w:sz w:val="22"/>
        </w:rPr>
        <w:t xml:space="preserve">Relevance to UBER: </w:t>
      </w:r>
      <w:r>
        <w:rPr>
          <w:rFonts w:ascii="Calibri" w:hAnsi="Calibri"/>
          <w:color w:val="525866"/>
          <w:sz w:val="22"/>
        </w:rPr>
        <w:t>CEO Glenn Fogel’s commentary at the JP Morgan conference in mid-May (within the Q2 2026 reporting period) provides additional color on travel demand trends and the competitive dynamics of platform bundling — directly relevant to Uber’s hotel booking and travel integration strategy.</w:t>
      </w:r>
    </w:p>
    <w:p>
      <w:pPr>
        <w:pStyle w:val="ListBullet"/>
        <w:ind w:left="360" w:hanging="360"/>
      </w:pPr>
      <w:r>
        <w:rPr>
          <w:rFonts w:ascii="Calibri" w:hAnsi="Calibri"/>
          <w:b/>
          <w:color w:val="525866"/>
          <w:sz w:val="22"/>
        </w:rPr>
        <w:t>Travel demand structurally resilient, long-term growth intact:</w:t>
      </w:r>
      <w:r>
        <w:rPr>
          <w:rFonts w:ascii="Calibri" w:hAnsi="Calibri"/>
          <w:color w:val="525866"/>
          <w:sz w:val="22"/>
        </w:rPr>
        <w:t xml:space="preserve"> Fogel reiterated that travel spend has “exceeded global GDP by 1–2% for a very, very long time” and that ~4 billion people globally cannot yet afford to travel but are gaining the means to do so. This long-term TAM expansion narrative mirrors Uber’s own sparse-market and international expansion thesis.</w:t>
      </w:r>
    </w:p>
    <w:p>
      <w:pPr>
        <w:pStyle w:val="ListBullet"/>
        <w:ind w:left="360" w:hanging="360"/>
      </w:pPr>
      <w:r>
        <w:rPr>
          <w:rFonts w:ascii="Calibri" w:hAnsi="Calibri"/>
          <w:b/>
          <w:color w:val="525866"/>
          <w:sz w:val="22"/>
        </w:rPr>
        <w:t>Connected trip transactions grew “high teens” in Q1 2026:</w:t>
      </w:r>
      <w:r>
        <w:rPr>
          <w:rFonts w:ascii="Calibri" w:hAnsi="Calibri"/>
          <w:color w:val="525866"/>
          <w:sz w:val="22"/>
        </w:rPr>
        <w:t xml:space="preserve"> Fogel noted connected transactions grew high teens in Q1 and now represent a “low double-digit percentage” of Booking.com’s total transactions. Flight tickets grew 28% in Q1. This validates the consumer appetite for multi-vertical travel bundling that underpins Uber’s hotel booking and travel integration strategy launched at the GO-GET event.</w:t>
      </w:r>
    </w:p>
    <w:p>
      <w:pPr>
        <w:pStyle w:val="ListBullet"/>
        <w:ind w:left="360" w:hanging="360"/>
      </w:pPr>
      <w:r>
        <w:rPr>
          <w:rFonts w:ascii="Calibri" w:hAnsi="Calibri"/>
          <w:b/>
          <w:color w:val="525866"/>
          <w:sz w:val="22"/>
        </w:rPr>
        <w:t>AI driving efficiency gains across customer service and personalization:</w:t>
      </w:r>
      <w:r>
        <w:rPr>
          <w:rFonts w:ascii="Calibri" w:hAnsi="Calibri"/>
          <w:color w:val="525866"/>
          <w:sz w:val="22"/>
        </w:rPr>
        <w:t xml:space="preserve"> BKNG highlighted AI reducing customer service costs per contact while improving satisfaction, and enabling better personalization and pricing. This is a direct parallel to Uber’s own AI commentary at Bernstein (95% of engineers using AI tools, &gt;10% of code autonomously written, customer support as a major AI impact area) — suggesting AI-driven efficiency gains are an industry-wide tailwind, not Uber-specific.</w:t>
      </w:r>
    </w:p>
    <w:p>
      <w:pPr>
        <w:pStyle w:val="ListBullet"/>
        <w:ind w:left="360" w:hanging="360"/>
      </w:pPr>
      <w:r>
        <w:rPr>
          <w:rFonts w:ascii="Calibri" w:hAnsi="Calibri"/>
          <w:b/>
          <w:color w:val="525866"/>
          <w:sz w:val="22"/>
        </w:rPr>
        <w:t>Direct channel growing in the U.S. (65% of traffic direct):</w:t>
      </w:r>
      <w:r>
        <w:rPr>
          <w:rFonts w:ascii="Calibri" w:hAnsi="Calibri"/>
          <w:color w:val="525866"/>
          <w:sz w:val="22"/>
        </w:rPr>
        <w:t xml:space="preserve"> BKNG’s focus on growing direct traffic (currently 65% of Booking.com visits) and reducing performance marketing dependency is analogous to Uber’s Uber One strategy — both companies are investing in loyalty/membership to reduce customer acquisition costs and improve retention. BKNG’s success in this area is a positive read-through for Uber One’s long-term economics.</w:t>
      </w:r>
    </w:p>
    <w:p>
      <w:r>
        <w:rPr>
          <w:rFonts w:ascii="Calibri" w:hAnsi="Calibri"/>
          <w:b/>
          <w:color w:val="525866"/>
          <w:sz w:val="22"/>
        </w:rPr>
        <w:t>Peers Not Yet Reported (as of August 4, 2026):</w:t>
      </w:r>
      <w:r>
        <w:rPr>
          <w:rFonts w:ascii="Calibri" w:hAnsi="Calibri"/>
          <w:color w:val="525866"/>
          <w:sz w:val="22"/>
        </w:rPr>
        <w:t xml:space="preserve"> Lyft (LYFT) and DoorDash (DASH) had not reported Q2 2026 results at the time of this preview. The only Lyft filing found in the research database during the last 60 days was a July 23, 2026 8-K announcing the appointment of Ben Minicucci (CEO of Alaska Air Group) to Lyft’s Board of Directors — no Q2 2026 operating commentary was available. DoorDash documents were not found in the database. These remain key pending read-throughs for Uber’s Delivery segment.</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 xml:space="preserve">No open-market buys or discretionary sells by named executives since the Q1 print — all insider activity consists of routine RSU vesting and tax-withholding dispositions (Form F transactions), plus a notable </w:t>
      </w:r>
      <w:r>
        <w:rPr>
          <w:rFonts w:ascii="Calibri" w:hAnsi="Calibri"/>
          <w:b/>
          <w:color w:val="525866"/>
          <w:sz w:val="22"/>
        </w:rPr>
        <w:t>open-market purchase by Neutron Holdings (SpaceX-affiliated 10% owner) of 800,000 shares on July 2</w:t>
      </w:r>
      <w:r>
        <w:rPr>
          <w:rFonts w:ascii="Calibri" w:hAnsi="Calibri"/>
          <w:color w:val="525866"/>
          <w:sz w:val="22"/>
        </w:rPr>
        <w:t xml:space="preserve"> under a 10b5-1 plan, and a large sale by Aurora Innovation (10% owner) of 67.5 million Class A shares on June 2. The Neutron Holdings purchase is the most notable signal — a strategic partner adding to its position.</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 / Value</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Neutron Holdings, Inc. (Issuer)</w:t>
            </w:r>
          </w:p>
        </w:tc>
        <w:tc>
          <w:tcPr>
            <w:tcW w:type="dxa" w:w="1440"/>
          </w:tcPr>
          <w:p>
            <w:r>
              <w:rPr>
                <w:rFonts w:ascii="Calibri" w:hAnsi="Calibri"/>
                <w:sz w:val="22"/>
              </w:rPr>
              <w:t>10% Owner (SpaceX-affiliated)</w:t>
            </w:r>
          </w:p>
        </w:tc>
        <w:tc>
          <w:tcPr>
            <w:tcW w:type="dxa" w:w="1440"/>
          </w:tcPr>
          <w:p>
            <w:r>
              <w:rPr>
                <w:rFonts w:ascii="Calibri" w:hAnsi="Calibri"/>
                <w:b/>
                <w:color w:val="30A46C"/>
                <w:sz w:val="22"/>
              </w:rPr>
              <w:t>Open Market Buy</w:t>
            </w:r>
          </w:p>
        </w:tc>
        <w:tc>
          <w:tcPr>
            <w:tcW w:type="dxa" w:w="1440"/>
          </w:tcPr>
          <w:p>
            <w:r>
              <w:rPr>
                <w:rFonts w:ascii="Calibri" w:hAnsi="Calibri"/>
                <w:sz w:val="22"/>
              </w:rPr>
              <w:t>800,000 shares</w:t>
            </w:r>
          </w:p>
        </w:tc>
        <w:tc>
          <w:tcPr>
            <w:tcW w:type="dxa" w:w="1440"/>
          </w:tcPr>
          <w:p>
            <w:r>
              <w:rPr>
                <w:rFonts w:ascii="Calibri" w:hAnsi="Calibri"/>
                <w:sz w:val="22"/>
              </w:rPr>
              <w:t>July 2, 2026</w:t>
            </w:r>
          </w:p>
        </w:tc>
        <w:tc>
          <w:tcPr>
            <w:tcW w:type="dxa" w:w="1440"/>
          </w:tcPr>
          <w:p>
            <w:r>
              <w:rPr>
                <w:rFonts w:ascii="Calibri" w:hAnsi="Calibri"/>
                <w:sz w:val="22"/>
              </w:rPr>
              <w:t>10b5-1 planned purchase. Strategic partner adding to position; notable given proximity to Delivery Hero announcement (July 16).</w:t>
            </w:r>
          </w:p>
        </w:tc>
      </w:tr>
      <w:tr>
        <w:tc>
          <w:tcPr>
            <w:tcW w:type="dxa" w:w="1440"/>
          </w:tcPr>
          <w:p>
            <w:r>
              <w:rPr>
                <w:rFonts w:ascii="Calibri" w:hAnsi="Calibri"/>
                <w:sz w:val="22"/>
              </w:rPr>
              <w:t>Neutron Holdings, Inc. (Issuer)</w:t>
            </w:r>
          </w:p>
        </w:tc>
        <w:tc>
          <w:tcPr>
            <w:tcW w:type="dxa" w:w="1440"/>
          </w:tcPr>
          <w:p>
            <w:r>
              <w:rPr>
                <w:rFonts w:ascii="Calibri" w:hAnsi="Calibri"/>
                <w:sz w:val="22"/>
              </w:rPr>
              <w:t>10% Owner</w:t>
            </w:r>
          </w:p>
        </w:tc>
        <w:tc>
          <w:tcPr>
            <w:tcW w:type="dxa" w:w="1440"/>
          </w:tcPr>
          <w:p>
            <w:r>
              <w:rPr>
                <w:rFonts w:ascii="Calibri" w:hAnsi="Calibri"/>
                <w:sz w:val="22"/>
              </w:rPr>
              <w:t>Conversion (C)</w:t>
            </w:r>
          </w:p>
        </w:tc>
        <w:tc>
          <w:tcPr>
            <w:tcW w:type="dxa" w:w="1440"/>
          </w:tcPr>
          <w:p>
            <w:r>
              <w:rPr>
                <w:rFonts w:ascii="Calibri" w:hAnsi="Calibri"/>
                <w:sz w:val="22"/>
              </w:rPr>
              <w:t>~9.6M shares (from Convertible Notes); ~1.06M shares (from Series C Preferred)</w:t>
            </w:r>
          </w:p>
        </w:tc>
        <w:tc>
          <w:tcPr>
            <w:tcW w:type="dxa" w:w="1440"/>
          </w:tcPr>
          <w:p>
            <w:r>
              <w:rPr>
                <w:rFonts w:ascii="Calibri" w:hAnsi="Calibri"/>
                <w:sz w:val="22"/>
              </w:rPr>
              <w:t>June 30 / July 2, 2026</w:t>
            </w:r>
          </w:p>
        </w:tc>
        <w:tc>
          <w:tcPr>
            <w:tcW w:type="dxa" w:w="1440"/>
          </w:tcPr>
          <w:p>
            <w:r>
              <w:rPr>
                <w:rFonts w:ascii="Calibri" w:hAnsi="Calibri"/>
                <w:sz w:val="22"/>
              </w:rPr>
              <w:t>Convertible note and preferred stock conversions into common stock. Not open-market transactions; reflects ongoing capitalization mechanics.</w:t>
            </w:r>
          </w:p>
        </w:tc>
      </w:tr>
      <w:tr>
        <w:tc>
          <w:tcPr>
            <w:tcW w:type="dxa" w:w="1440"/>
          </w:tcPr>
          <w:p>
            <w:r>
              <w:rPr>
                <w:rFonts w:ascii="Calibri" w:hAnsi="Calibri"/>
                <w:sz w:val="22"/>
              </w:rPr>
              <w:t>Aurora Innovation, Inc. (Issuer)</w:t>
            </w:r>
          </w:p>
        </w:tc>
        <w:tc>
          <w:tcPr>
            <w:tcW w:type="dxa" w:w="1440"/>
          </w:tcPr>
          <w:p>
            <w:r>
              <w:rPr>
                <w:rFonts w:ascii="Calibri" w:hAnsi="Calibri"/>
                <w:sz w:val="22"/>
              </w:rPr>
              <w:t>10% Owner (AV partner)</w:t>
            </w:r>
          </w:p>
        </w:tc>
        <w:tc>
          <w:tcPr>
            <w:tcW w:type="dxa" w:w="1440"/>
          </w:tcPr>
          <w:p>
            <w:r>
              <w:rPr>
                <w:rFonts w:ascii="Calibri" w:hAnsi="Calibri"/>
                <w:b/>
                <w:color w:val="E5484D"/>
                <w:sz w:val="22"/>
              </w:rPr>
              <w:t>Open Market Sale</w:t>
            </w:r>
          </w:p>
        </w:tc>
        <w:tc>
          <w:tcPr>
            <w:tcW w:type="dxa" w:w="1440"/>
          </w:tcPr>
          <w:p>
            <w:r>
              <w:rPr>
                <w:rFonts w:ascii="Calibri" w:hAnsi="Calibri"/>
                <w:sz w:val="22"/>
              </w:rPr>
              <w:t>67,500,000 Class A shares</w:t>
            </w:r>
          </w:p>
        </w:tc>
        <w:tc>
          <w:tcPr>
            <w:tcW w:type="dxa" w:w="1440"/>
          </w:tcPr>
          <w:p>
            <w:r>
              <w:rPr>
                <w:rFonts w:ascii="Calibri" w:hAnsi="Calibri"/>
                <w:sz w:val="22"/>
              </w:rPr>
              <w:t>June 2, 2026</w:t>
            </w:r>
          </w:p>
        </w:tc>
        <w:tc>
          <w:tcPr>
            <w:tcW w:type="dxa" w:w="1440"/>
          </w:tcPr>
          <w:p>
            <w:r>
              <w:rPr>
                <w:rFonts w:ascii="Calibri" w:hAnsi="Calibri"/>
                <w:sz w:val="22"/>
              </w:rPr>
              <w:t>Discretionary sale (no 10b5-1 plan). Large block sale by AV partner; likely balance sheet / liquidity management by Aurora rather than a signal on Uber fundamentals.</w:t>
            </w:r>
          </w:p>
        </w:tc>
      </w:tr>
      <w:tr>
        <w:tc>
          <w:tcPr>
            <w:tcW w:type="dxa" w:w="1440"/>
          </w:tcPr>
          <w:p>
            <w:r>
              <w:rPr>
                <w:rFonts w:ascii="Calibri" w:hAnsi="Calibri"/>
                <w:sz w:val="22"/>
              </w:rPr>
              <w:t>Hazelbaker Jill</w:t>
            </w:r>
          </w:p>
        </w:tc>
        <w:tc>
          <w:tcPr>
            <w:tcW w:type="dxa" w:w="1440"/>
          </w:tcPr>
          <w:p>
            <w:r>
              <w:rPr>
                <w:rFonts w:ascii="Calibri" w:hAnsi="Calibri"/>
                <w:sz w:val="22"/>
              </w:rPr>
              <w:t>President &amp; Chief Corporate Affairs Officer</w:t>
            </w:r>
          </w:p>
        </w:tc>
        <w:tc>
          <w:tcPr>
            <w:tcW w:type="dxa" w:w="1440"/>
          </w:tcPr>
          <w:p>
            <w:r>
              <w:rPr>
                <w:rFonts w:ascii="Calibri" w:hAnsi="Calibri"/>
                <w:sz w:val="22"/>
              </w:rPr>
              <w:t>RSU Vesting / Tax Withholding (F)</w:t>
            </w:r>
          </w:p>
        </w:tc>
        <w:tc>
          <w:tcPr>
            <w:tcW w:type="dxa" w:w="1440"/>
          </w:tcPr>
          <w:p>
            <w:r>
              <w:rPr>
                <w:rFonts w:ascii="Calibri" w:hAnsi="Calibri"/>
                <w:sz w:val="22"/>
              </w:rPr>
              <w:t>~4,628–4,630 shares withheld (multiple dates)</w:t>
            </w:r>
          </w:p>
        </w:tc>
        <w:tc>
          <w:tcPr>
            <w:tcW w:type="dxa" w:w="1440"/>
          </w:tcPr>
          <w:p>
            <w:r>
              <w:rPr>
                <w:rFonts w:ascii="Calibri" w:hAnsi="Calibri"/>
                <w:sz w:val="22"/>
              </w:rPr>
              <w:t>May 16, June 16, July 16, 2026</w:t>
            </w:r>
          </w:p>
        </w:tc>
        <w:tc>
          <w:tcPr>
            <w:tcW w:type="dxa" w:w="1440"/>
          </w:tcPr>
          <w:p>
            <w:r>
              <w:rPr>
                <w:rFonts w:ascii="Calibri" w:hAnsi="Calibri"/>
                <w:sz w:val="22"/>
              </w:rPr>
              <w:t>Routine tax-withholding dispositions on RSU vesting. Not discretionary. Also received $3.75M RSU + $1.25M option grant on May 11 in connection with promotion to President.</w:t>
            </w:r>
          </w:p>
        </w:tc>
      </w:tr>
      <w:tr>
        <w:tc>
          <w:tcPr>
            <w:tcW w:type="dxa" w:w="1440"/>
          </w:tcPr>
          <w:p>
            <w:r>
              <w:rPr>
                <w:rFonts w:ascii="Calibri" w:hAnsi="Calibri"/>
                <w:sz w:val="22"/>
              </w:rPr>
              <w:t>Krishnamurthy Balaji (A)</w:t>
            </w:r>
          </w:p>
        </w:tc>
        <w:tc>
          <w:tcPr>
            <w:tcW w:type="dxa" w:w="1440"/>
          </w:tcPr>
          <w:p>
            <w:r>
              <w:rPr>
                <w:rFonts w:ascii="Calibri" w:hAnsi="Calibri"/>
                <w:sz w:val="22"/>
              </w:rPr>
              <w:t>Chief Financial Officer</w:t>
            </w:r>
          </w:p>
        </w:tc>
        <w:tc>
          <w:tcPr>
            <w:tcW w:type="dxa" w:w="1440"/>
          </w:tcPr>
          <w:p>
            <w:r>
              <w:rPr>
                <w:rFonts w:ascii="Calibri" w:hAnsi="Calibri"/>
                <w:sz w:val="22"/>
              </w:rPr>
              <w:t>RSU Vesting / Tax Withholding (F)</w:t>
            </w:r>
          </w:p>
        </w:tc>
        <w:tc>
          <w:tcPr>
            <w:tcW w:type="dxa" w:w="1440"/>
          </w:tcPr>
          <w:p>
            <w:r>
              <w:rPr>
                <w:rFonts w:ascii="Calibri" w:hAnsi="Calibri"/>
                <w:sz w:val="22"/>
              </w:rPr>
              <w:t>~2,249–2,255 shares withheld (multiple dates)</w:t>
            </w:r>
          </w:p>
        </w:tc>
        <w:tc>
          <w:tcPr>
            <w:tcW w:type="dxa" w:w="1440"/>
          </w:tcPr>
          <w:p>
            <w:r>
              <w:rPr>
                <w:rFonts w:ascii="Calibri" w:hAnsi="Calibri"/>
                <w:sz w:val="22"/>
              </w:rPr>
              <w:t>May 16, June 16, July 16, 2026</w:t>
            </w:r>
          </w:p>
        </w:tc>
        <w:tc>
          <w:tcPr>
            <w:tcW w:type="dxa" w:w="1440"/>
          </w:tcPr>
          <w:p>
            <w:r>
              <w:rPr>
                <w:rFonts w:ascii="Calibri" w:hAnsi="Calibri"/>
                <w:sz w:val="22"/>
              </w:rPr>
              <w:t>Routine tax-withholding dispositions on RSU vesting. Not discretionary. CFO appointed February 2026.</w:t>
            </w:r>
          </w:p>
        </w:tc>
      </w:tr>
      <w:tr>
        <w:tc>
          <w:tcPr>
            <w:tcW w:type="dxa" w:w="1440"/>
          </w:tcPr>
          <w:p>
            <w:r>
              <w:rPr>
                <w:rFonts w:ascii="Calibri" w:hAnsi="Calibri"/>
                <w:sz w:val="22"/>
              </w:rPr>
              <w:t>Macdonald Andrew</w:t>
            </w:r>
          </w:p>
        </w:tc>
        <w:tc>
          <w:tcPr>
            <w:tcW w:type="dxa" w:w="1440"/>
          </w:tcPr>
          <w:p>
            <w:r>
              <w:rPr>
                <w:rFonts w:ascii="Calibri" w:hAnsi="Calibri"/>
                <w:sz w:val="22"/>
              </w:rPr>
              <w:t>See Remarks (Senior Executive)</w:t>
            </w:r>
          </w:p>
        </w:tc>
        <w:tc>
          <w:tcPr>
            <w:tcW w:type="dxa" w:w="1440"/>
          </w:tcPr>
          <w:p>
            <w:r>
              <w:rPr>
                <w:rFonts w:ascii="Calibri" w:hAnsi="Calibri"/>
                <w:sz w:val="22"/>
              </w:rPr>
              <w:t>RSU Vesting / Tax Withholding (F)</w:t>
            </w:r>
          </w:p>
        </w:tc>
        <w:tc>
          <w:tcPr>
            <w:tcW w:type="dxa" w:w="1440"/>
          </w:tcPr>
          <w:p>
            <w:r>
              <w:rPr>
                <w:rFonts w:ascii="Calibri" w:hAnsi="Calibri"/>
                <w:sz w:val="22"/>
              </w:rPr>
              <w:t>~5,683–5,685 shares withheld (multiple dates)</w:t>
            </w:r>
          </w:p>
        </w:tc>
        <w:tc>
          <w:tcPr>
            <w:tcW w:type="dxa" w:w="1440"/>
          </w:tcPr>
          <w:p>
            <w:r>
              <w:rPr>
                <w:rFonts w:ascii="Calibri" w:hAnsi="Calibri"/>
                <w:sz w:val="22"/>
              </w:rPr>
              <w:t>May 16, June 16, July 16, 2026</w:t>
            </w:r>
          </w:p>
        </w:tc>
        <w:tc>
          <w:tcPr>
            <w:tcW w:type="dxa" w:w="1440"/>
          </w:tcPr>
          <w:p>
            <w:r>
              <w:rPr>
                <w:rFonts w:ascii="Calibri" w:hAnsi="Calibri"/>
                <w:sz w:val="22"/>
              </w:rPr>
              <w:t>Routine tax-withholding dispositions on RSU vesting. Not discretionary.</w:t>
            </w:r>
          </w:p>
        </w:tc>
      </w:tr>
      <w:tr>
        <w:tc>
          <w:tcPr>
            <w:tcW w:type="dxa" w:w="1440"/>
          </w:tcPr>
          <w:p>
            <w:r>
              <w:rPr>
                <w:rFonts w:ascii="Calibri" w:hAnsi="Calibri"/>
                <w:sz w:val="22"/>
              </w:rPr>
              <w:t>West Tony</w:t>
            </w:r>
          </w:p>
        </w:tc>
        <w:tc>
          <w:tcPr>
            <w:tcW w:type="dxa" w:w="1440"/>
          </w:tcPr>
          <w:p>
            <w:r>
              <w:rPr>
                <w:rFonts w:ascii="Calibri" w:hAnsi="Calibri"/>
                <w:sz w:val="22"/>
              </w:rPr>
              <w:t>See Remarks (Senior Executive)</w:t>
            </w:r>
          </w:p>
        </w:tc>
        <w:tc>
          <w:tcPr>
            <w:tcW w:type="dxa" w:w="1440"/>
          </w:tcPr>
          <w:p>
            <w:r>
              <w:rPr>
                <w:rFonts w:ascii="Calibri" w:hAnsi="Calibri"/>
                <w:sz w:val="22"/>
              </w:rPr>
              <w:t>RSU Vesting / Tax Withholding (F)</w:t>
            </w:r>
          </w:p>
        </w:tc>
        <w:tc>
          <w:tcPr>
            <w:tcW w:type="dxa" w:w="1440"/>
          </w:tcPr>
          <w:p>
            <w:r>
              <w:rPr>
                <w:rFonts w:ascii="Calibri" w:hAnsi="Calibri"/>
                <w:sz w:val="22"/>
              </w:rPr>
              <w:t>~3,570 shares withheld (multiple dates)</w:t>
            </w:r>
          </w:p>
        </w:tc>
        <w:tc>
          <w:tcPr>
            <w:tcW w:type="dxa" w:w="1440"/>
          </w:tcPr>
          <w:p>
            <w:r>
              <w:rPr>
                <w:rFonts w:ascii="Calibri" w:hAnsi="Calibri"/>
                <w:sz w:val="22"/>
              </w:rPr>
              <w:t>May 16, June 16, July 16, 2026</w:t>
            </w:r>
          </w:p>
        </w:tc>
        <w:tc>
          <w:tcPr>
            <w:tcW w:type="dxa" w:w="1440"/>
          </w:tcPr>
          <w:p>
            <w:r>
              <w:rPr>
                <w:rFonts w:ascii="Calibri" w:hAnsi="Calibri"/>
                <w:sz w:val="22"/>
              </w:rPr>
              <w:t>Routine tax-withholding dispositions on RSU vesting. Not discretionary.</w:t>
            </w:r>
          </w:p>
        </w:tc>
      </w:tr>
      <w:tr>
        <w:tc>
          <w:tcPr>
            <w:tcW w:type="dxa" w:w="1440"/>
          </w:tcPr>
          <w:p>
            <w:r>
              <w:rPr>
                <w:rFonts w:ascii="Calibri" w:hAnsi="Calibri"/>
                <w:sz w:val="22"/>
              </w:rPr>
              <w:t>Ceremony Glen</w:t>
            </w:r>
          </w:p>
        </w:tc>
        <w:tc>
          <w:tcPr>
            <w:tcW w:type="dxa" w:w="1440"/>
          </w:tcPr>
          <w:p>
            <w:r>
              <w:rPr>
                <w:rFonts w:ascii="Calibri" w:hAnsi="Calibri"/>
                <w:sz w:val="22"/>
              </w:rPr>
              <w:t>See Remarks (Senior Executive)</w:t>
            </w:r>
          </w:p>
        </w:tc>
        <w:tc>
          <w:tcPr>
            <w:tcW w:type="dxa" w:w="1440"/>
          </w:tcPr>
          <w:p>
            <w:r>
              <w:rPr>
                <w:rFonts w:ascii="Calibri" w:hAnsi="Calibri"/>
                <w:sz w:val="22"/>
              </w:rPr>
              <w:t>RSU Vesting / Tax Withholding (F)</w:t>
            </w:r>
          </w:p>
        </w:tc>
        <w:tc>
          <w:tcPr>
            <w:tcW w:type="dxa" w:w="1440"/>
          </w:tcPr>
          <w:p>
            <w:r>
              <w:rPr>
                <w:rFonts w:ascii="Calibri" w:hAnsi="Calibri"/>
                <w:sz w:val="22"/>
              </w:rPr>
              <w:t>~1,793 shares withheld (multiple dates)</w:t>
            </w:r>
          </w:p>
        </w:tc>
        <w:tc>
          <w:tcPr>
            <w:tcW w:type="dxa" w:w="1440"/>
          </w:tcPr>
          <w:p>
            <w:r>
              <w:rPr>
                <w:rFonts w:ascii="Calibri" w:hAnsi="Calibri"/>
                <w:sz w:val="22"/>
              </w:rPr>
              <w:t>May 16, June 16, July 16, 2026</w:t>
            </w:r>
          </w:p>
        </w:tc>
        <w:tc>
          <w:tcPr>
            <w:tcW w:type="dxa" w:w="1440"/>
          </w:tcPr>
          <w:p>
            <w:r>
              <w:rPr>
                <w:rFonts w:ascii="Calibri" w:hAnsi="Calibri"/>
                <w:sz w:val="22"/>
              </w:rPr>
              <w:t>Routine tax-withholding dispositions on RSU vesting. Not discretionary.</w:t>
            </w:r>
          </w:p>
        </w:tc>
      </w:tr>
      <w:tr>
        <w:tc>
          <w:tcPr>
            <w:tcW w:type="dxa" w:w="1440"/>
          </w:tcPr>
          <w:p>
            <w:r>
              <w:rPr>
                <w:rFonts w:ascii="Calibri" w:hAnsi="Calibri"/>
                <w:sz w:val="22"/>
              </w:rPr>
              <w:t>Arora Nikesh / Burns Ursula M / Thain John A</w:t>
            </w:r>
          </w:p>
        </w:tc>
        <w:tc>
          <w:tcPr>
            <w:tcW w:type="dxa" w:w="1440"/>
          </w:tcPr>
          <w:p>
            <w:r>
              <w:rPr>
                <w:rFonts w:ascii="Calibri" w:hAnsi="Calibri"/>
                <w:sz w:val="22"/>
              </w:rPr>
              <w:t>Directors</w:t>
            </w:r>
          </w:p>
        </w:tc>
        <w:tc>
          <w:tcPr>
            <w:tcW w:type="dxa" w:w="1440"/>
          </w:tcPr>
          <w:p>
            <w:r>
              <w:rPr>
                <w:rFonts w:ascii="Calibri" w:hAnsi="Calibri"/>
                <w:sz w:val="22"/>
              </w:rPr>
              <w:t>RSU Grant (A)</w:t>
            </w:r>
          </w:p>
        </w:tc>
        <w:tc>
          <w:tcPr>
            <w:tcW w:type="dxa" w:w="1440"/>
          </w:tcPr>
          <w:p>
            <w:r>
              <w:rPr>
                <w:rFonts w:ascii="Calibri" w:hAnsi="Calibri"/>
                <w:sz w:val="22"/>
              </w:rPr>
              <w:t>314–349 RSUs each</w:t>
            </w:r>
          </w:p>
        </w:tc>
        <w:tc>
          <w:tcPr>
            <w:tcW w:type="dxa" w:w="1440"/>
          </w:tcPr>
          <w:p>
            <w:r>
              <w:rPr>
                <w:rFonts w:ascii="Calibri" w:hAnsi="Calibri"/>
                <w:sz w:val="22"/>
              </w:rPr>
              <w:t>July 10, 2026</w:t>
            </w:r>
          </w:p>
        </w:tc>
        <w:tc>
          <w:tcPr>
            <w:tcW w:type="dxa" w:w="1440"/>
          </w:tcPr>
          <w:p>
            <w:r>
              <w:rPr>
                <w:rFonts w:ascii="Calibri" w:hAnsi="Calibri"/>
                <w:sz w:val="22"/>
              </w:rPr>
              <w:t>Routine annual director RSU grants. Not open-market transactions.</w:t>
            </w:r>
          </w:p>
        </w:tc>
      </w:tr>
    </w:tbl>
    <w:p>
      <w:r>
        <w:rPr>
          <w:rFonts w:ascii="Calibri" w:hAnsi="Calibri"/>
          <w:i/>
          <w:color w:val="525866"/>
          <w:sz w:val="22"/>
        </w:rPr>
        <w:t xml:space="preserve">Source: SEC Form 4 Filings / Insider Transaction Data. </w:t>
      </w:r>
      <w:r>
        <w:rPr>
          <w:rFonts w:ascii="Calibri" w:hAnsi="Calibri"/>
          <w:i/>
          <w:color w:val="525866"/>
          <w:sz w:val="22"/>
        </w:rPr>
        <w:t>Only open-market buys (code P) and sells (code S) are flagged as directional signals. All code F (tax withholding on RSU vesting) and code M/A (RSU vesting/grant) transactions are routine compensation mechanics and carry no informational signal. The Neutron Holdings open-market purchase of 800,000 shares on July 2 under a 10b5-1 plan is the only notable directional transaction — a strategic partner adding to its position two weeks before the Delivery Hero announcement. Aurora Innovation’s 67.5M share sale on June 2 is large in absolute terms but reflects Aurora’s own balance sheet needs rather than a view on Uber fundamentals.</w:t>
      </w:r>
    </w:p>
    <w:p>
      <w:r>
        <w:rPr>
          <w:rFonts w:ascii="Calibri" w:hAnsi="Calibri"/>
          <w:b/>
          <w:color w:val="525866"/>
          <w:sz w:val="22"/>
        </w:rPr>
        <w:t xml:space="preserve">Conclusion: </w:t>
      </w:r>
      <w:r>
        <w:rPr>
          <w:rFonts w:ascii="Calibri" w:hAnsi="Calibri"/>
          <w:color w:val="525866"/>
          <w:sz w:val="22"/>
        </w:rPr>
        <w:t>No named Uber executives have made open-market purchases or discretionary sales since the Q1 print. The absence of insider selling by management is a mild positive signal heading into the Q2 print, particularly given the stock’s underperformance since May 6.</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