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Uber Technologies, Inc. (UBER)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Uber Technologies, Inc.</w:t>
            </w:r>
          </w:p>
        </w:tc>
      </w:tr>
      <w:tr>
        <w:tc>
          <w:tcPr>
            <w:tcW w:type="dxa" w:w="4320"/>
          </w:tcPr>
          <w:p>
            <w:r>
              <w:rPr>
                <w:rFonts w:ascii="Calibri" w:hAnsi="Calibri"/>
                <w:b/>
                <w:sz w:val="22"/>
              </w:rPr>
              <w:t>Ticker</w:t>
            </w:r>
          </w:p>
        </w:tc>
        <w:tc>
          <w:tcPr>
            <w:tcW w:type="dxa" w:w="4320"/>
          </w:tcPr>
          <w:p>
            <w:r>
              <w:rPr>
                <w:rFonts w:ascii="Calibri" w:hAnsi="Calibri"/>
                <w:sz w:val="22"/>
              </w:rPr>
              <w:t>UBER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Pre-Market (8:00 AM ET)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favors a beat — consensus sits at the low end of guidance and estimate revisions have been flat-to-up since the Q1 print — but the </w:t>
      </w:r>
      <w:r>
        <w:rPr>
          <w:rFonts w:ascii="Calibri" w:hAnsi="Calibri"/>
          <w:b/>
          <w:color w:val="525866"/>
          <w:sz w:val="22"/>
        </w:rPr>
        <w:t>Delivery Hero M&amp;A announcement and the Waymo exclusivity breakup</w:t>
      </w:r>
      <w:r>
        <w:rPr>
          <w:rFonts w:ascii="Calibri" w:hAnsi="Calibri"/>
          <w:color w:val="525866"/>
          <w:sz w:val="22"/>
        </w:rPr>
        <w:t xml:space="preserve"> have injected meaningful noise, and the market will be watching whether management can hold the growth narrative together while absorbing a transformative acquisition.</w:t>
      </w:r>
    </w:p>
    <w:p>
      <w:r>
        <w:rPr>
          <w:rFonts w:ascii="Calibri" w:hAnsi="Calibri"/>
          <w:color w:val="525866"/>
          <w:sz w:val="22"/>
        </w:rPr>
        <w:t xml:space="preserve">Heading into Q2 2026 results, Uber's bar looks achievable: consensus gross bookings of ~$57.2B sit near the midpoint of the $56.25–$57.75B guidance range, and adjusted EBITDA consensus of ~$2.76B is essentially at the midpoint of the $2.70–$2.80B guide, leaving room for the company's typical pattern of beating the high end. </w:t>
      </w:r>
      <w:r>
        <w:rPr>
          <w:rFonts w:ascii="Calibri" w:hAnsi="Calibri"/>
          <w:b/>
          <w:color w:val="525866"/>
          <w:sz w:val="22"/>
        </w:rPr>
        <w:t>Management's tone at the May 6 earnings call and the May 28 Bernstein conference was notably confident</w:t>
      </w:r>
      <w:r>
        <w:rPr>
          <w:rFonts w:ascii="Calibri" w:hAnsi="Calibri"/>
          <w:color w:val="525866"/>
          <w:sz w:val="22"/>
        </w:rPr>
        <w:t xml:space="preserve"> — the CFO reiterated 18–22% constant-currency gross bookings growth for Q2 and expressed even greater conviction in U.S. Mobility acceleration than at the Q4 2025 call, citing insurance cost tailwinds flowing through to consumers and the most benign annual rate renegotiations in years. Estimate revisions have been remarkably stable since the post-Q1 baseline (gross bookings consensus moved less than 0.1% over the period), suggesting the Street has high confidence in the guide rather than building in upside. </w:t>
      </w:r>
      <w:r>
        <w:rPr>
          <w:rFonts w:ascii="Calibri" w:hAnsi="Calibri"/>
          <w:b/>
          <w:color w:val="525866"/>
          <w:sz w:val="22"/>
        </w:rPr>
        <w:t>The stock is down ~9% since the Q1 print</w:t>
      </w:r>
      <w:r>
        <w:rPr>
          <w:rFonts w:ascii="Calibri" w:hAnsi="Calibri"/>
          <w:color w:val="525866"/>
          <w:sz w:val="22"/>
        </w:rPr>
        <w:t xml:space="preserve"> versus IYT (transportation proxy) roughly flat and SPY up ~5%, a meaningful underperformance driven almost entirely by multiple compression rather than estimate cuts — the NTM EV/EBITDA has contracted from ~15x to ~12x — reflecting investor anxiety around the $14.2B Delivery Hero acquisition announced July 16 and the Waymo exclusivity breakup announced July 24. The single biggest wildcard for the print is </w:t>
      </w:r>
    </w:p>
    <w:p>
      <w:r>
        <w:rPr>
          <w:rFonts w:ascii="Calibri" w:hAnsi="Calibri"/>
          <w:b/>
          <w:color w:val="525866"/>
          <w:sz w:val="22"/>
        </w:rPr>
        <w:t>management's capital allocation framing around the Delivery Hero deal</w:t>
      </w:r>
      <w:r>
        <w:rPr>
          <w:rFonts w:ascii="Calibri" w:hAnsi="Calibri"/>
          <w:color w:val="525866"/>
          <w:sz w:val="22"/>
        </w:rPr>
        <w:t>: if the call reaffirms buyback capacity and EPS accretion confidence, the stock could re-rate sharply; if the tone shifts toward integration risk or leverage concerns, the multiple compression could deepen regardless of the underlying Q2 beat.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both gross bookings and adjusted EBITDA sit near guidance midpoints, consistent with Uber's historical pattern of beating the high end. </w:t>
      </w:r>
    </w:p>
    <w:p>
      <w:r>
        <w:rPr>
          <w:rFonts w:ascii="Calibri" w:hAnsi="Calibri"/>
          <w:b/>
          <w:color w:val="525866"/>
          <w:sz w:val="22"/>
        </w:rPr>
        <w:t>Gross bookings is the primary swing factor</w:t>
      </w:r>
      <w:r>
        <w:rPr>
          <w:rFonts w:ascii="Calibri" w:hAnsi="Calibri"/>
          <w:color w:val="525866"/>
          <w:sz w:val="22"/>
        </w:rPr>
        <w:t>: a beat above $57.75B (the guidance ceiling) would signal accelerating U.S. Mobility and delivery momentum; a miss below $56.25B would raise questions about Waymo competitive impact and macro softness.</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Gross Bookings ($B)</w:t>
            </w:r>
          </w:p>
        </w:tc>
        <w:tc>
          <w:tcPr>
            <w:tcW w:type="dxa" w:w="1234"/>
          </w:tcPr>
          <w:p>
            <w:r>
              <w:rPr>
                <w:rFonts w:ascii="Calibri" w:hAnsi="Calibri"/>
                <w:sz w:val="22"/>
              </w:rPr>
              <w:t>$53.7B</w:t>
            </w:r>
          </w:p>
        </w:tc>
        <w:tc>
          <w:tcPr>
            <w:tcW w:type="dxa" w:w="1234"/>
          </w:tcPr>
          <w:p>
            <w:r>
              <w:rPr>
                <w:rFonts w:ascii="Calibri" w:hAnsi="Calibri"/>
                <w:sz w:val="22"/>
              </w:rPr>
              <w:t>$46.8B</w:t>
            </w:r>
          </w:p>
        </w:tc>
        <w:tc>
          <w:tcPr>
            <w:tcW w:type="dxa" w:w="1234"/>
          </w:tcPr>
          <w:p>
            <w:r>
              <w:rPr>
                <w:rFonts w:ascii="Calibri" w:hAnsi="Calibri"/>
                <w:sz w:val="22"/>
              </w:rPr>
              <w:t>$57.2B</w:t>
            </w:r>
          </w:p>
        </w:tc>
        <w:tc>
          <w:tcPr>
            <w:tcW w:type="dxa" w:w="1234"/>
          </w:tcPr>
          <w:p>
            <w:r>
              <w:rPr>
                <w:rFonts w:ascii="Calibri" w:hAnsi="Calibri"/>
                <w:sz w:val="22"/>
              </w:rPr>
              <w:t>+22.4% YoY</w:t>
            </w:r>
          </w:p>
        </w:tc>
        <w:tc>
          <w:tcPr>
            <w:tcW w:type="dxa" w:w="1234"/>
          </w:tcPr>
          <w:p>
            <w:r>
              <w:rPr>
                <w:rFonts w:ascii="Calibri" w:hAnsi="Calibri"/>
                <w:sz w:val="22"/>
              </w:rPr>
              <w:t>$56.25B – $57.75B</w:t>
            </w:r>
          </w:p>
        </w:tc>
        <w:tc>
          <w:tcPr>
            <w:tcW w:type="dxa" w:w="1234"/>
          </w:tcPr>
          <w:p>
            <w:r>
              <w:rPr>
                <w:rFonts w:ascii="Calibri" w:hAnsi="Calibri"/>
                <w:sz w:val="22"/>
              </w:rPr>
              <w:t>+0.3% vs. midpoint ($57.0B)</w:t>
            </w:r>
          </w:p>
        </w:tc>
      </w:tr>
      <w:tr>
        <w:tc>
          <w:tcPr>
            <w:tcW w:type="dxa" w:w="1234"/>
          </w:tcPr>
          <w:p>
            <w:r>
              <w:rPr>
                <w:rFonts w:ascii="Calibri" w:hAnsi="Calibri"/>
                <w:sz w:val="22"/>
              </w:rPr>
              <w:t>Adjusted EBITDA ($B)</w:t>
            </w:r>
          </w:p>
        </w:tc>
        <w:tc>
          <w:tcPr>
            <w:tcW w:type="dxa" w:w="1234"/>
          </w:tcPr>
          <w:p>
            <w:r>
              <w:rPr>
                <w:rFonts w:ascii="Calibri" w:hAnsi="Calibri"/>
                <w:sz w:val="22"/>
              </w:rPr>
              <w:t>$2.481B</w:t>
            </w:r>
          </w:p>
        </w:tc>
        <w:tc>
          <w:tcPr>
            <w:tcW w:type="dxa" w:w="1234"/>
          </w:tcPr>
          <w:p>
            <w:r>
              <w:rPr>
                <w:rFonts w:ascii="Calibri" w:hAnsi="Calibri"/>
                <w:sz w:val="22"/>
              </w:rPr>
              <w:t>$2.119B</w:t>
            </w:r>
          </w:p>
        </w:tc>
        <w:tc>
          <w:tcPr>
            <w:tcW w:type="dxa" w:w="1234"/>
          </w:tcPr>
          <w:p>
            <w:r>
              <w:rPr>
                <w:rFonts w:ascii="Calibri" w:hAnsi="Calibri"/>
                <w:sz w:val="22"/>
              </w:rPr>
              <w:t>$2.761B</w:t>
            </w:r>
          </w:p>
        </w:tc>
        <w:tc>
          <w:tcPr>
            <w:tcW w:type="dxa" w:w="1234"/>
          </w:tcPr>
          <w:p>
            <w:r>
              <w:rPr>
                <w:rFonts w:ascii="Calibri" w:hAnsi="Calibri"/>
                <w:sz w:val="22"/>
              </w:rPr>
              <w:t>+30.3% YoY</w:t>
            </w:r>
          </w:p>
        </w:tc>
        <w:tc>
          <w:tcPr>
            <w:tcW w:type="dxa" w:w="1234"/>
          </w:tcPr>
          <w:p>
            <w:r>
              <w:rPr>
                <w:rFonts w:ascii="Calibri" w:hAnsi="Calibri"/>
                <w:sz w:val="22"/>
              </w:rPr>
              <w:t>$2.70B – $2.80B</w:t>
            </w:r>
          </w:p>
        </w:tc>
        <w:tc>
          <w:tcPr>
            <w:tcW w:type="dxa" w:w="1234"/>
          </w:tcPr>
          <w:p>
            <w:r>
              <w:rPr>
                <w:rFonts w:ascii="Calibri" w:hAnsi="Calibri"/>
                <w:sz w:val="22"/>
              </w:rPr>
              <w:t>+0.4% vs. midpoint ($2.75B)</w:t>
            </w:r>
          </w:p>
        </w:tc>
      </w:tr>
      <w:tr>
        <w:tc>
          <w:tcPr>
            <w:tcW w:type="dxa" w:w="1234"/>
          </w:tcPr>
          <w:p>
            <w:r>
              <w:rPr>
                <w:rFonts w:ascii="Calibri" w:hAnsi="Calibri"/>
                <w:sz w:val="22"/>
              </w:rPr>
              <w:t>Revenue ($B)</w:t>
            </w:r>
          </w:p>
        </w:tc>
        <w:tc>
          <w:tcPr>
            <w:tcW w:type="dxa" w:w="1234"/>
          </w:tcPr>
          <w:p>
            <w:r>
              <w:rPr>
                <w:rFonts w:ascii="Calibri" w:hAnsi="Calibri"/>
                <w:sz w:val="22"/>
              </w:rPr>
              <w:t>$13.2B</w:t>
            </w:r>
          </w:p>
        </w:tc>
        <w:tc>
          <w:tcPr>
            <w:tcW w:type="dxa" w:w="1234"/>
          </w:tcPr>
          <w:p>
            <w:r>
              <w:rPr>
                <w:rFonts w:ascii="Calibri" w:hAnsi="Calibri"/>
                <w:sz w:val="22"/>
              </w:rPr>
              <w:t>$12.7B</w:t>
            </w:r>
          </w:p>
        </w:tc>
        <w:tc>
          <w:tcPr>
            <w:tcW w:type="dxa" w:w="1234"/>
          </w:tcPr>
          <w:p>
            <w:r>
              <w:rPr>
                <w:rFonts w:ascii="Calibri" w:hAnsi="Calibri"/>
                <w:sz w:val="22"/>
              </w:rPr>
              <w:t>$14.2B</w:t>
            </w:r>
          </w:p>
        </w:tc>
        <w:tc>
          <w:tcPr>
            <w:tcW w:type="dxa" w:w="1234"/>
          </w:tcPr>
          <w:p>
            <w:r>
              <w:rPr>
                <w:rFonts w:ascii="Calibri" w:hAnsi="Calibri"/>
                <w:sz w:val="22"/>
              </w:rPr>
              <w:t>+12.4% YoY</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MAPCs (M)</w:t>
            </w:r>
          </w:p>
        </w:tc>
        <w:tc>
          <w:tcPr>
            <w:tcW w:type="dxa" w:w="1234"/>
          </w:tcPr>
          <w:p>
            <w:r>
              <w:rPr>
                <w:rFonts w:ascii="Calibri" w:hAnsi="Calibri"/>
                <w:sz w:val="22"/>
              </w:rPr>
              <w:t>199M</w:t>
            </w:r>
          </w:p>
        </w:tc>
        <w:tc>
          <w:tcPr>
            <w:tcW w:type="dxa" w:w="1234"/>
          </w:tcPr>
          <w:p>
            <w:r>
              <w:rPr>
                <w:rFonts w:ascii="Calibri" w:hAnsi="Calibri"/>
                <w:sz w:val="22"/>
              </w:rPr>
              <w:t>180M</w:t>
            </w:r>
          </w:p>
        </w:tc>
        <w:tc>
          <w:tcPr>
            <w:tcW w:type="dxa" w:w="1234"/>
          </w:tcPr>
          <w:p>
            <w:r>
              <w:rPr>
                <w:rFonts w:ascii="Calibri" w:hAnsi="Calibri"/>
                <w:sz w:val="22"/>
              </w:rPr>
              <w:t>207M</w:t>
            </w:r>
          </w:p>
        </w:tc>
        <w:tc>
          <w:tcPr>
            <w:tcW w:type="dxa" w:w="1234"/>
          </w:tcPr>
          <w:p>
            <w:r>
              <w:rPr>
                <w:rFonts w:ascii="Calibri" w:hAnsi="Calibri"/>
                <w:sz w:val="22"/>
              </w:rPr>
              <w:t>+15.2% YoY</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Non-GAAP EPS (Diluted)</w:t>
            </w:r>
          </w:p>
        </w:tc>
        <w:tc>
          <w:tcPr>
            <w:tcW w:type="dxa" w:w="1234"/>
          </w:tcPr>
          <w:p>
            <w:r>
              <w:rPr>
                <w:rFonts w:ascii="Calibri" w:hAnsi="Calibri"/>
                <w:sz w:val="22"/>
              </w:rPr>
              <w:t>$0.72</w:t>
            </w:r>
          </w:p>
        </w:tc>
        <w:tc>
          <w:tcPr>
            <w:tcW w:type="dxa" w:w="1234"/>
          </w:tcPr>
          <w:p>
            <w:r>
              <w:rPr>
                <w:rFonts w:ascii="Calibri" w:hAnsi="Calibri"/>
                <w:sz w:val="22"/>
              </w:rPr>
              <w:t>$0.60</w:t>
            </w:r>
          </w:p>
        </w:tc>
        <w:tc>
          <w:tcPr>
            <w:tcW w:type="dxa" w:w="1234"/>
          </w:tcPr>
          <w:p>
            <w:r>
              <w:rPr>
                <w:rFonts w:ascii="Calibri" w:hAnsi="Calibri"/>
                <w:sz w:val="22"/>
              </w:rPr>
              <w:t>$0.80</w:t>
            </w:r>
          </w:p>
        </w:tc>
        <w:tc>
          <w:tcPr>
            <w:tcW w:type="dxa" w:w="1234"/>
          </w:tcPr>
          <w:p>
            <w:r>
              <w:rPr>
                <w:rFonts w:ascii="Calibri" w:hAnsi="Calibri"/>
                <w:sz w:val="22"/>
              </w:rPr>
              <w:t>+33.7% YoY</w:t>
            </w:r>
          </w:p>
        </w:tc>
        <w:tc>
          <w:tcPr>
            <w:tcW w:type="dxa" w:w="1234"/>
          </w:tcPr>
          <w:p>
            <w:r>
              <w:rPr>
                <w:rFonts w:ascii="Calibri" w:hAnsi="Calibri"/>
                <w:sz w:val="22"/>
              </w:rPr>
              <w:t>$0.78 – $0.82</w:t>
            </w:r>
          </w:p>
        </w:tc>
        <w:tc>
          <w:tcPr>
            <w:tcW w:type="dxa" w:w="1234"/>
          </w:tcPr>
          <w:p>
            <w:r>
              <w:rPr>
                <w:rFonts w:ascii="Calibri" w:hAnsi="Calibri"/>
                <w:sz w:val="22"/>
              </w:rPr>
              <w:t>0.0% vs. midpoint ($0.80)</w:t>
            </w:r>
          </w:p>
        </w:tc>
      </w:tr>
      <w:tr>
        <w:tc>
          <w:tcPr>
            <w:tcW w:type="dxa" w:w="1234"/>
          </w:tcPr>
          <w:p>
            <w:r>
              <w:rPr>
                <w:rFonts w:ascii="Calibri" w:hAnsi="Calibri"/>
                <w:sz w:val="22"/>
              </w:rPr>
              <w:t>Free Cash Flow ($B)</w:t>
            </w:r>
          </w:p>
        </w:tc>
        <w:tc>
          <w:tcPr>
            <w:tcW w:type="dxa" w:w="1234"/>
          </w:tcPr>
          <w:p>
            <w:r>
              <w:rPr>
                <w:rFonts w:ascii="Calibri" w:hAnsi="Calibri"/>
                <w:sz w:val="22"/>
              </w:rPr>
              <w:t>$2.286B</w:t>
            </w:r>
          </w:p>
        </w:tc>
        <w:tc>
          <w:tcPr>
            <w:tcW w:type="dxa" w:w="1234"/>
          </w:tcPr>
          <w:p>
            <w:r>
              <w:rPr>
                <w:rFonts w:ascii="Calibri" w:hAnsi="Calibri"/>
                <w:sz w:val="22"/>
              </w:rPr>
              <w:t>$2.480B</w:t>
            </w:r>
          </w:p>
        </w:tc>
        <w:tc>
          <w:tcPr>
            <w:tcW w:type="dxa" w:w="1234"/>
          </w:tcPr>
          <w:p>
            <w:r>
              <w:rPr>
                <w:rFonts w:ascii="Calibri" w:hAnsi="Calibri"/>
                <w:sz w:val="22"/>
              </w:rPr>
              <w:t>$3.555B</w:t>
            </w:r>
          </w:p>
        </w:tc>
        <w:tc>
          <w:tcPr>
            <w:tcW w:type="dxa" w:w="1234"/>
          </w:tcPr>
          <w:p>
            <w:r>
              <w:rPr>
                <w:rFonts w:ascii="Calibri" w:hAnsi="Calibri"/>
                <w:sz w:val="22"/>
              </w:rPr>
              <w:t>+43.3% YoY</w:t>
            </w:r>
          </w:p>
        </w:tc>
        <w:tc>
          <w:tcPr>
            <w:tcW w:type="dxa" w:w="1234"/>
          </w:tcPr>
          <w:p>
            <w:r>
              <w:rPr>
                <w:rFonts w:ascii="Calibri" w:hAnsi="Calibri"/>
                <w:sz w:val="22"/>
              </w:rPr>
              <w:t>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Uber Q1 2026 Earnings Release (May 6, 2026). Gross Bookings, Adjusted EBITDA, Revenue, MAPCs, EPS, and FCF consensus from Visible Alpha. Q2 2026 guidance from Uber Q1 2026 Earnings Release. YoY change computed vs. Q2 2025 actuals from Visible Alpha.</w:t>
      </w:r>
    </w:p>
    <w:p>
      <w:pPr>
        <w:pStyle w:val="Heading2"/>
      </w:pPr>
      <w:r>
        <w:rPr>
          <w:rFonts w:ascii="Calibri" w:hAnsi="Calibri"/>
          <w:b/>
          <w:color w:val="3B4259"/>
          <w:sz w:val="28"/>
        </w:rPr>
        <w:t>Table 2 — Beat / Miss History (Last 8 Quarters — Gross Bookings &amp; Adjusted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Gross Bookings</w:t>
            </w:r>
          </w:p>
        </w:tc>
        <w:tc>
          <w:tcPr>
            <w:tcW w:type="dxa" w:w="1440"/>
          </w:tcPr>
          <w:p>
            <w:r>
              <w:rPr>
                <w:rFonts w:ascii="Calibri" w:hAnsi="Calibri"/>
                <w:sz w:val="22"/>
              </w:rPr>
              <w:t>$53.7B</w:t>
            </w:r>
          </w:p>
        </w:tc>
        <w:tc>
          <w:tcPr>
            <w:tcW w:type="dxa" w:w="1440"/>
          </w:tcPr>
          <w:p>
            <w:r>
              <w:rPr>
                <w:rFonts w:ascii="Calibri" w:hAnsi="Calibri"/>
                <w:sz w:val="22"/>
              </w:rPr>
              <w:t>$52.9B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$2.481B</w:t>
            </w:r>
          </w:p>
        </w:tc>
        <w:tc>
          <w:tcPr>
            <w:tcW w:type="dxa" w:w="1440"/>
          </w:tcPr>
          <w:p>
            <w:r>
              <w:rPr>
                <w:rFonts w:ascii="Calibri" w:hAnsi="Calibri"/>
                <w:sz w:val="22"/>
              </w:rPr>
              <w:t>$2.433B</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Gross Bookings</w:t>
            </w:r>
          </w:p>
        </w:tc>
        <w:tc>
          <w:tcPr>
            <w:tcW w:type="dxa" w:w="1440"/>
          </w:tcPr>
          <w:p>
            <w:r>
              <w:rPr>
                <w:rFonts w:ascii="Calibri" w:hAnsi="Calibri"/>
                <w:sz w:val="22"/>
              </w:rPr>
              <w:t>$54.1B</w:t>
            </w:r>
          </w:p>
        </w:tc>
        <w:tc>
          <w:tcPr>
            <w:tcW w:type="dxa" w:w="1440"/>
          </w:tcPr>
          <w:p>
            <w:r>
              <w:rPr>
                <w:rFonts w:ascii="Calibri" w:hAnsi="Calibri"/>
                <w:sz w:val="22"/>
              </w:rPr>
              <w:t>$53.3B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$2.487B</w:t>
            </w:r>
          </w:p>
        </w:tc>
        <w:tc>
          <w:tcPr>
            <w:tcW w:type="dxa" w:w="1440"/>
          </w:tcPr>
          <w:p>
            <w:r>
              <w:rPr>
                <w:rFonts w:ascii="Calibri" w:hAnsi="Calibri"/>
                <w:sz w:val="22"/>
              </w:rPr>
              <w:t>$2.475B</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Gross Bookings</w:t>
            </w:r>
          </w:p>
        </w:tc>
        <w:tc>
          <w:tcPr>
            <w:tcW w:type="dxa" w:w="1440"/>
          </w:tcPr>
          <w:p>
            <w:r>
              <w:rPr>
                <w:rFonts w:ascii="Calibri" w:hAnsi="Calibri"/>
                <w:sz w:val="22"/>
              </w:rPr>
              <w:t>$49.7B</w:t>
            </w:r>
          </w:p>
        </w:tc>
        <w:tc>
          <w:tcPr>
            <w:tcW w:type="dxa" w:w="1440"/>
          </w:tcPr>
          <w:p>
            <w:r>
              <w:rPr>
                <w:rFonts w:ascii="Calibri" w:hAnsi="Calibri"/>
                <w:sz w:val="22"/>
              </w:rPr>
              <w:t>$49.0B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$2.256B</w:t>
            </w:r>
          </w:p>
        </w:tc>
        <w:tc>
          <w:tcPr>
            <w:tcW w:type="dxa" w:w="1440"/>
          </w:tcPr>
          <w:p>
            <w:r>
              <w:rPr>
                <w:rFonts w:ascii="Calibri" w:hAnsi="Calibri"/>
                <w:sz w:val="22"/>
              </w:rPr>
              <w:t>$2.264B</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Gross Bookings</w:t>
            </w:r>
          </w:p>
        </w:tc>
        <w:tc>
          <w:tcPr>
            <w:tcW w:type="dxa" w:w="1440"/>
          </w:tcPr>
          <w:p>
            <w:r>
              <w:rPr>
                <w:rFonts w:ascii="Calibri" w:hAnsi="Calibri"/>
                <w:sz w:val="22"/>
              </w:rPr>
              <w:t>$46.8B</w:t>
            </w:r>
          </w:p>
        </w:tc>
        <w:tc>
          <w:tcPr>
            <w:tcW w:type="dxa" w:w="1440"/>
          </w:tcPr>
          <w:p>
            <w:r>
              <w:rPr>
                <w:rFonts w:ascii="Calibri" w:hAnsi="Calibri"/>
                <w:sz w:val="22"/>
              </w:rPr>
              <w:t>$46.4B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$2.119B</w:t>
            </w:r>
          </w:p>
        </w:tc>
        <w:tc>
          <w:tcPr>
            <w:tcW w:type="dxa" w:w="1440"/>
          </w:tcPr>
          <w:p>
            <w:r>
              <w:rPr>
                <w:rFonts w:ascii="Calibri" w:hAnsi="Calibri"/>
                <w:sz w:val="22"/>
              </w:rPr>
              <w:t>$2.096B</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Gross Bookings</w:t>
            </w:r>
          </w:p>
        </w:tc>
        <w:tc>
          <w:tcPr>
            <w:tcW w:type="dxa" w:w="1440"/>
          </w:tcPr>
          <w:p>
            <w:r>
              <w:rPr>
                <w:rFonts w:ascii="Calibri" w:hAnsi="Calibri"/>
                <w:sz w:val="22"/>
              </w:rPr>
              <w:t>$42.8B</w:t>
            </w:r>
          </w:p>
        </w:tc>
        <w:tc>
          <w:tcPr>
            <w:tcW w:type="dxa" w:w="1440"/>
          </w:tcPr>
          <w:p>
            <w:r>
              <w:rPr>
                <w:rFonts w:ascii="Calibri" w:hAnsi="Calibri"/>
                <w:sz w:val="22"/>
              </w:rPr>
              <w:t>$43.0B</w:t>
            </w:r>
          </w:p>
        </w:tc>
        <w:tc>
          <w:tcPr>
            <w:tcW w:type="dxa" w:w="1440"/>
          </w:tcPr>
          <w:p>
            <w:r>
              <w:rPr>
                <w:rFonts w:ascii="Calibri" w:hAnsi="Calibri"/>
                <w:b/>
                <w:color w:val="E5484D"/>
                <w:sz w:val="22"/>
              </w:rPr>
              <w:t>-0.5%</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$1.868B</w:t>
            </w:r>
          </w:p>
        </w:tc>
        <w:tc>
          <w:tcPr>
            <w:tcW w:type="dxa" w:w="1440"/>
          </w:tcPr>
          <w:p>
            <w:r>
              <w:rPr>
                <w:rFonts w:ascii="Calibri" w:hAnsi="Calibri"/>
                <w:sz w:val="22"/>
              </w:rPr>
              <w:t>$1.841B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Gross Bookings</w:t>
            </w:r>
          </w:p>
        </w:tc>
        <w:tc>
          <w:tcPr>
            <w:tcW w:type="dxa" w:w="1440"/>
          </w:tcPr>
          <w:p>
            <w:r>
              <w:rPr>
                <w:rFonts w:ascii="Calibri" w:hAnsi="Calibri"/>
                <w:sz w:val="22"/>
              </w:rPr>
              <w:t>$44.2B</w:t>
            </w:r>
          </w:p>
        </w:tc>
        <w:tc>
          <w:tcPr>
            <w:tcW w:type="dxa" w:w="1440"/>
          </w:tcPr>
          <w:p>
            <w:r>
              <w:rPr>
                <w:rFonts w:ascii="Calibri" w:hAnsi="Calibri"/>
                <w:sz w:val="22"/>
              </w:rPr>
              <w:t>$43.5B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$1.842B</w:t>
            </w:r>
          </w:p>
        </w:tc>
        <w:tc>
          <w:tcPr>
            <w:tcW w:type="dxa" w:w="1440"/>
          </w:tcPr>
          <w:p>
            <w:r>
              <w:rPr>
                <w:rFonts w:ascii="Calibri" w:hAnsi="Calibri"/>
                <w:sz w:val="22"/>
              </w:rPr>
              <w:t>$1.848B</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Gross Bookings</w:t>
            </w:r>
          </w:p>
        </w:tc>
        <w:tc>
          <w:tcPr>
            <w:tcW w:type="dxa" w:w="1440"/>
          </w:tcPr>
          <w:p>
            <w:r>
              <w:rPr>
                <w:rFonts w:ascii="Calibri" w:hAnsi="Calibri"/>
                <w:sz w:val="22"/>
              </w:rPr>
              <w:t>$41.0B</w:t>
            </w:r>
          </w:p>
        </w:tc>
        <w:tc>
          <w:tcPr>
            <w:tcW w:type="dxa" w:w="1440"/>
          </w:tcPr>
          <w:p>
            <w:r>
              <w:rPr>
                <w:rFonts w:ascii="Calibri" w:hAnsi="Calibri"/>
                <w:sz w:val="22"/>
              </w:rPr>
              <w:t>$41.2B</w:t>
            </w:r>
          </w:p>
        </w:tc>
        <w:tc>
          <w:tcPr>
            <w:tcW w:type="dxa" w:w="1440"/>
          </w:tcPr>
          <w:p>
            <w:r>
              <w:rPr>
                <w:rFonts w:ascii="Calibri" w:hAnsi="Calibri"/>
                <w:b/>
                <w:color w:val="E5484D"/>
                <w:sz w:val="22"/>
              </w:rPr>
              <w:t>-0.7%</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$1.690B</w:t>
            </w:r>
          </w:p>
        </w:tc>
        <w:tc>
          <w:tcPr>
            <w:tcW w:type="dxa" w:w="1440"/>
          </w:tcPr>
          <w:p>
            <w:r>
              <w:rPr>
                <w:rFonts w:ascii="Calibri" w:hAnsi="Calibri"/>
                <w:sz w:val="22"/>
              </w:rPr>
              <w:t>$1.649B</w:t>
            </w:r>
          </w:p>
        </w:tc>
        <w:tc>
          <w:tcPr>
            <w:tcW w:type="dxa" w:w="1440"/>
          </w:tcPr>
          <w:p>
            <w:r>
              <w:rPr>
                <w:rFonts w:ascii="Calibri" w:hAnsi="Calibri"/>
                <w:b/>
                <w:color w:val="30A46C"/>
                <w:sz w:val="22"/>
              </w:rPr>
              <w:t>+2.5%</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b/>
          <w:i/>
          <w:color w:val="525866"/>
          <w:sz w:val="22"/>
        </w:rPr>
        <w:t xml:space="preserve">Pattern: </w:t>
      </w:r>
      <w:r>
        <w:rPr>
          <w:rFonts w:ascii="Calibri" w:hAnsi="Calibri"/>
          <w:i/>
          <w:color w:val="525866"/>
          <w:sz w:val="22"/>
        </w:rPr>
        <w:t>Uber has beaten gross bookings consensus in 5 of the last 8 quarters and adjusted EBITDA in 6 of 8, with beats typically in the +1–2% range — a consistent but modest outperformance pattern that sets a reasonable bar for Q2 2026.</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May 6 earnings call — the May 28 Bernstein conference reiterated the Q2 range verbatim. </w:t>
      </w:r>
    </w:p>
    <w:p>
      <w:r>
        <w:rPr>
          <w:rFonts w:ascii="Calibri" w:hAnsi="Calibri"/>
          <w:b/>
          <w:color w:val="525866"/>
          <w:sz w:val="22"/>
        </w:rPr>
        <w:t>Tone has shifted modestly more cautious on capital allocation</w:t>
      </w:r>
      <w:r>
        <w:rPr>
          <w:rFonts w:ascii="Calibri" w:hAnsi="Calibri"/>
          <w:color w:val="525866"/>
          <w:sz w:val="22"/>
        </w:rPr>
        <w:t xml:space="preserve"> following the July 16 Delivery Hero announcement, but the underlying operating narrative (U.S. Mobility acceleration, insurance tailwinds, Uber One momentum) remains intact and was reinforced at Bernstein.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Gross Bookings (Q2 2026)</w:t>
            </w:r>
          </w:p>
        </w:tc>
        <w:tc>
          <w:tcPr>
            <w:tcW w:type="dxa" w:w="1728"/>
          </w:tcPr>
          <w:p>
            <w:r>
              <w:rPr>
                <w:rFonts w:ascii="Calibri" w:hAnsi="Calibri"/>
                <w:sz w:val="22"/>
              </w:rPr>
              <w:t>$56.25B – $57.75B (18–22% CC growth)</w:t>
            </w:r>
          </w:p>
        </w:tc>
        <w:tc>
          <w:tcPr>
            <w:tcW w:type="dxa" w:w="1728"/>
          </w:tcPr>
          <w:p>
            <w:r>
              <w:rPr>
                <w:rFonts w:ascii="Calibri" w:hAnsi="Calibri"/>
                <w:sz w:val="22"/>
              </w:rPr>
              <w:t>—</w:t>
            </w:r>
          </w:p>
        </w:tc>
        <w:tc>
          <w:tcPr>
            <w:tcW w:type="dxa" w:w="1728"/>
          </w:tcPr>
          <w:p>
            <w:r>
              <w:rPr>
                <w:rFonts w:ascii="Calibri" w:hAnsi="Calibri"/>
                <w:sz w:val="22"/>
              </w:rPr>
              <w:t>$57.2B</w:t>
            </w:r>
          </w:p>
        </w:tc>
        <w:tc>
          <w:tcPr>
            <w:tcW w:type="dxa" w:w="1728"/>
          </w:tcPr>
          <w:p>
            <w:r>
              <w:rPr>
                <w:rFonts w:ascii="Calibri" w:hAnsi="Calibri"/>
                <w:sz w:val="22"/>
              </w:rPr>
              <w:t>Reiterated at Bernstein May 28; no change. Assumes ~2pp FX tailwind.</w:t>
            </w:r>
          </w:p>
        </w:tc>
      </w:tr>
      <w:tr>
        <w:tc>
          <w:tcPr>
            <w:tcW w:type="dxa" w:w="1728"/>
          </w:tcPr>
          <w:p>
            <w:r>
              <w:rPr>
                <w:rFonts w:ascii="Calibri" w:hAnsi="Calibri"/>
                <w:sz w:val="22"/>
              </w:rPr>
              <w:t>Adjusted EBITDA (Q2 2026)</w:t>
            </w:r>
          </w:p>
        </w:tc>
        <w:tc>
          <w:tcPr>
            <w:tcW w:type="dxa" w:w="1728"/>
          </w:tcPr>
          <w:p>
            <w:r>
              <w:rPr>
                <w:rFonts w:ascii="Calibri" w:hAnsi="Calibri"/>
                <w:sz w:val="22"/>
              </w:rPr>
              <w:t>$2.70B – $2.80B</w:t>
            </w:r>
          </w:p>
        </w:tc>
        <w:tc>
          <w:tcPr>
            <w:tcW w:type="dxa" w:w="1728"/>
          </w:tcPr>
          <w:p>
            <w:r>
              <w:rPr>
                <w:rFonts w:ascii="Calibri" w:hAnsi="Calibri"/>
                <w:sz w:val="22"/>
              </w:rPr>
              <w:t>—</w:t>
            </w:r>
          </w:p>
        </w:tc>
        <w:tc>
          <w:tcPr>
            <w:tcW w:type="dxa" w:w="1728"/>
          </w:tcPr>
          <w:p>
            <w:r>
              <w:rPr>
                <w:rFonts w:ascii="Calibri" w:hAnsi="Calibri"/>
                <w:sz w:val="22"/>
              </w:rPr>
              <w:t>$2.761B</w:t>
            </w:r>
          </w:p>
        </w:tc>
        <w:tc>
          <w:tcPr>
            <w:tcW w:type="dxa" w:w="1728"/>
          </w:tcPr>
          <w:p>
            <w:r>
              <w:rPr>
                <w:rFonts w:ascii="Calibri" w:hAnsi="Calibri"/>
                <w:sz w:val="22"/>
              </w:rPr>
              <w:t>Reiterated at Bernstein May 28; continued margin expansion expected.</w:t>
            </w:r>
          </w:p>
        </w:tc>
      </w:tr>
      <w:tr>
        <w:tc>
          <w:tcPr>
            <w:tcW w:type="dxa" w:w="1728"/>
          </w:tcPr>
          <w:p>
            <w:r>
              <w:rPr>
                <w:rFonts w:ascii="Calibri" w:hAnsi="Calibri"/>
                <w:sz w:val="22"/>
              </w:rPr>
              <w:t>Non-GAAP EPS (Q2 2026)</w:t>
            </w:r>
          </w:p>
        </w:tc>
        <w:tc>
          <w:tcPr>
            <w:tcW w:type="dxa" w:w="1728"/>
          </w:tcPr>
          <w:p>
            <w:r>
              <w:rPr>
                <w:rFonts w:ascii="Calibri" w:hAnsi="Calibri"/>
                <w:sz w:val="22"/>
              </w:rPr>
              <w:t>$0.78 – $0.82 (31–38% YoY growth)</w:t>
            </w:r>
          </w:p>
        </w:tc>
        <w:tc>
          <w:tcPr>
            <w:tcW w:type="dxa" w:w="1728"/>
          </w:tcPr>
          <w:p>
            <w:r>
              <w:rPr>
                <w:rFonts w:ascii="Calibri" w:hAnsi="Calibri"/>
                <w:sz w:val="22"/>
              </w:rPr>
              <w:t>—</w:t>
            </w:r>
          </w:p>
        </w:tc>
        <w:tc>
          <w:tcPr>
            <w:tcW w:type="dxa" w:w="1728"/>
          </w:tcPr>
          <w:p>
            <w:r>
              <w:rPr>
                <w:rFonts w:ascii="Calibri" w:hAnsi="Calibri"/>
                <w:sz w:val="22"/>
              </w:rPr>
              <w:t>$0.804</w:t>
            </w:r>
          </w:p>
        </w:tc>
        <w:tc>
          <w:tcPr>
            <w:tcW w:type="dxa" w:w="1728"/>
          </w:tcPr>
          <w:p>
            <w:r>
              <w:rPr>
                <w:rFonts w:ascii="Calibri" w:hAnsi="Calibri"/>
                <w:sz w:val="22"/>
              </w:rPr>
              <w:t>No post-earnings revision. Consensus at midpoint.</w:t>
            </w:r>
          </w:p>
        </w:tc>
      </w:tr>
      <w:tr>
        <w:tc>
          <w:tcPr>
            <w:tcW w:type="dxa" w:w="1728"/>
          </w:tcPr>
          <w:p>
            <w:r>
              <w:rPr>
                <w:rFonts w:ascii="Calibri" w:hAnsi="Calibri"/>
                <w:sz w:val="22"/>
              </w:rPr>
              <w:t>U.S. Mobility Acceleration</w:t>
            </w:r>
          </w:p>
        </w:tc>
        <w:tc>
          <w:tcPr>
            <w:tcW w:type="dxa" w:w="1728"/>
          </w:tcPr>
          <w:p>
            <w:r>
              <w:rPr>
                <w:rFonts w:ascii="Calibri" w:hAnsi="Calibri"/>
                <w:sz w:val="22"/>
              </w:rPr>
              <w:t>Expects continued acceleration through balance of 2026; insurance savings to drive lower consumer pricing and trip growth</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 Tone reinforced at Bernstein May 28; CFO cited low-single-digit insurance rate increases as “most benign in many years”</w:t>
            </w:r>
          </w:p>
        </w:tc>
      </w:tr>
      <w:tr>
        <w:tc>
          <w:tcPr>
            <w:tcW w:type="dxa" w:w="1728"/>
          </w:tcPr>
          <w:p>
            <w:r>
              <w:rPr>
                <w:rFonts w:ascii="Calibri" w:hAnsi="Calibri"/>
                <w:sz w:val="22"/>
              </w:rPr>
              <w:t>Capital Allocation / Buybacks</w:t>
            </w:r>
          </w:p>
        </w:tc>
        <w:tc>
          <w:tcPr>
            <w:tcW w:type="dxa" w:w="1728"/>
          </w:tcPr>
          <w:p>
            <w:r>
              <w:rPr>
                <w:rFonts w:ascii="Calibri" w:hAnsi="Calibri"/>
                <w:sz w:val="22"/>
              </w:rPr>
              <w:t>Record $3B buyback in Q1; “and” strategy — AVs, M&amp;A, and buybacks not mutually exclusive; ~$10B annual FCF</w:t>
            </w:r>
          </w:p>
        </w:tc>
        <w:tc>
          <w:tcPr>
            <w:tcW w:type="dxa" w:w="1728"/>
          </w:tcPr>
          <w:p>
            <w:r>
              <w:rPr>
                <w:rFonts w:ascii="Calibri" w:hAnsi="Calibri"/>
                <w:sz w:val="22"/>
              </w:rPr>
              <w:t>↓ Delivery Hero deal (July 16) commits ~€14.2B bridge financing; gross leverage to remain &lt;2x; buyback capacity reduced near-term</w:t>
            </w:r>
          </w:p>
        </w:tc>
        <w:tc>
          <w:tcPr>
            <w:tcW w:type="dxa" w:w="1728"/>
          </w:tcPr>
          <w:p>
            <w:r>
              <w:rPr>
                <w:rFonts w:ascii="Calibri" w:hAnsi="Calibri"/>
                <w:sz w:val="22"/>
              </w:rPr>
              <w:t>N/A (qualitative)</w:t>
            </w:r>
          </w:p>
        </w:tc>
        <w:tc>
          <w:tcPr>
            <w:tcW w:type="dxa" w:w="1728"/>
          </w:tcPr>
          <w:p>
            <w:r>
              <w:rPr>
                <w:rFonts w:ascii="Calibri" w:hAnsi="Calibri"/>
                <w:sz w:val="22"/>
              </w:rPr>
              <w:t>↓ Tone shift: M&amp;A now the dominant capital allocation story; deal expected EPS accretive at close, high-single-digit % by year 3</w:t>
            </w:r>
          </w:p>
        </w:tc>
      </w:tr>
      <w:tr>
        <w:tc>
          <w:tcPr>
            <w:tcW w:type="dxa" w:w="1728"/>
          </w:tcPr>
          <w:p>
            <w:r>
              <w:rPr>
                <w:rFonts w:ascii="Calibri" w:hAnsi="Calibri"/>
                <w:sz w:val="22"/>
              </w:rPr>
              <w:t>AV Strategy</w:t>
            </w:r>
          </w:p>
        </w:tc>
        <w:tc>
          <w:tcPr>
            <w:tcW w:type="dxa" w:w="1728"/>
          </w:tcPr>
          <w:p>
            <w:r>
              <w:rPr>
                <w:rFonts w:ascii="Calibri" w:hAnsi="Calibri"/>
                <w:sz w:val="22"/>
              </w:rPr>
              <w:t>30+ AV partners; 10x YoY AV trip growth; on track for 15 cities by year-end; Zoox (Vegas/LA), Nuro (Bay Area), Wayve (Tokyo)</w:t>
            </w:r>
          </w:p>
        </w:tc>
        <w:tc>
          <w:tcPr>
            <w:tcW w:type="dxa" w:w="1728"/>
          </w:tcPr>
          <w:p>
            <w:r>
              <w:rPr>
                <w:rFonts w:ascii="Calibri" w:hAnsi="Calibri"/>
                <w:sz w:val="22"/>
              </w:rPr>
              <w:t>↓ Waymo exclusivity in Austin &amp; Atlanta to end Jan 2028; Waymo to launch own app in those markets alongside Uber through May 2028</w:t>
            </w:r>
          </w:p>
        </w:tc>
        <w:tc>
          <w:tcPr>
            <w:tcW w:type="dxa" w:w="1728"/>
          </w:tcPr>
          <w:p>
            <w:r>
              <w:rPr>
                <w:rFonts w:ascii="Calibri" w:hAnsi="Calibri"/>
                <w:sz w:val="22"/>
              </w:rPr>
              <w:t>N/A (qualitative)</w:t>
            </w:r>
          </w:p>
        </w:tc>
        <w:tc>
          <w:tcPr>
            <w:tcW w:type="dxa" w:w="1728"/>
          </w:tcPr>
          <w:p>
            <w:r>
              <w:rPr>
                <w:rFonts w:ascii="Calibri" w:hAnsi="Calibri"/>
                <w:sz w:val="22"/>
              </w:rPr>
              <w:t>↓ Waymo relationship deteriorating; Uber accelerating non-Waymo AV partnerships (Waabi, Wayve, Nuro, Rivian fleet)</w:t>
            </w:r>
          </w:p>
        </w:tc>
      </w:tr>
    </w:tbl>
    <w:p>
      <w:r>
        <w:rPr>
          <w:rFonts w:ascii="Calibri" w:hAnsi="Calibri"/>
          <w:i/>
          <w:color w:val="525866"/>
          <w:sz w:val="22"/>
        </w:rPr>
        <w:t>Sources: Uber Q1 2026 Earnings Release and Transcript (May 6, 2026); Bernstein Strategic Decisions Conference Transcript (May 28, 2026); Uber 8-K (July 16, 2026); News reports (July 24,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p>
    <w:p>
      <w:r>
        <w:rPr>
          <w:rFonts w:ascii="Calibri" w:hAnsi="Calibri"/>
          <w:b/>
          <w:color w:val="525866"/>
          <w:sz w:val="22"/>
        </w:rPr>
        <w:t xml:space="preserve">Key Takeaway: </w:t>
      </w:r>
      <w:r>
        <w:rPr>
          <w:rFonts w:ascii="Calibri" w:hAnsi="Calibri"/>
          <w:color w:val="525866"/>
          <w:sz w:val="22"/>
        </w:rPr>
        <w:t>Estimates have been remarkably stable since the post-Q1 baseline — gross bookings and adjusted EBITDA consensus moved less than 0.1% over the 12 weeks since the Q1 print — signaling the Street has high conviction in the guidance range rather than building in incremental upside or downside. The gap between consensus and guidance midpoints is minimal, leaving the print outcome almost entirely dependent on execution vs. the guide.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13, 2026 (Post-Q1 Baseline)</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Gross Bookings (Q2 2026)</w:t>
            </w:r>
          </w:p>
        </w:tc>
        <w:tc>
          <w:tcPr>
            <w:tcW w:type="dxa" w:w="1080"/>
          </w:tcPr>
          <w:p>
            <w:r>
              <w:rPr>
                <w:rFonts w:ascii="Calibri" w:hAnsi="Calibri"/>
                <w:sz w:val="22"/>
              </w:rPr>
              <w:t>$57.24B</w:t>
            </w:r>
          </w:p>
        </w:tc>
        <w:tc>
          <w:tcPr>
            <w:tcW w:type="dxa" w:w="1080"/>
          </w:tcPr>
          <w:p>
            <w:r>
              <w:rPr>
                <w:rFonts w:ascii="Calibri" w:hAnsi="Calibri"/>
                <w:sz w:val="22"/>
              </w:rPr>
              <w:t>$57.24B</w:t>
            </w:r>
          </w:p>
        </w:tc>
        <w:tc>
          <w:tcPr>
            <w:tcW w:type="dxa" w:w="1080"/>
          </w:tcPr>
          <w:p>
            <w:r>
              <w:rPr>
                <w:rFonts w:ascii="Calibri" w:hAnsi="Calibri"/>
                <w:sz w:val="22"/>
              </w:rPr>
              <w:t>+0.0%</w:t>
            </w:r>
          </w:p>
        </w:tc>
        <w:tc>
          <w:tcPr>
            <w:tcW w:type="dxa" w:w="1080"/>
          </w:tcPr>
          <w:p>
            <w:r>
              <w:rPr>
                <w:rFonts w:ascii="Calibri" w:hAnsi="Calibri"/>
                <w:sz w:val="22"/>
              </w:rPr>
              <w:t>$56.25B – $57.75B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midpoint</w:t>
            </w:r>
          </w:p>
        </w:tc>
      </w:tr>
      <w:tr>
        <w:tc>
          <w:tcPr>
            <w:tcW w:type="dxa" w:w="1080"/>
          </w:tcPr>
          <w:p>
            <w:r>
              <w:rPr>
                <w:rFonts w:ascii="Calibri" w:hAnsi="Calibri"/>
                <w:sz w:val="22"/>
              </w:rPr>
              <w:t>Gross Bookings (FY 2026)</w:t>
            </w:r>
          </w:p>
        </w:tc>
        <w:tc>
          <w:tcPr>
            <w:tcW w:type="dxa" w:w="1080"/>
          </w:tcPr>
          <w:p>
            <w:r>
              <w:rPr>
                <w:rFonts w:ascii="Calibri" w:hAnsi="Calibri"/>
                <w:sz w:val="22"/>
              </w:rPr>
              <w:t>$234.1B</w:t>
            </w:r>
          </w:p>
        </w:tc>
        <w:tc>
          <w:tcPr>
            <w:tcW w:type="dxa" w:w="1080"/>
          </w:tcPr>
          <w:p>
            <w:r>
              <w:rPr>
                <w:rFonts w:ascii="Calibri" w:hAnsi="Calibri"/>
                <w:sz w:val="22"/>
              </w:rPr>
              <w:t>$234.3B</w:t>
            </w:r>
          </w:p>
        </w:tc>
        <w:tc>
          <w:tcPr>
            <w:tcW w:type="dxa" w:w="1080"/>
          </w:tcPr>
          <w:p>
            <w:r>
              <w:rPr>
                <w:rFonts w:ascii="Calibri" w:hAnsi="Calibri"/>
                <w:sz w:val="22"/>
              </w:rPr>
              <w:t>+0.1%</w:t>
            </w:r>
          </w:p>
        </w:tc>
        <w:tc>
          <w:tcPr>
            <w:tcW w:type="dxa" w:w="1080"/>
          </w:tcPr>
          <w:p>
            <w:r>
              <w:rPr>
                <w:rFonts w:ascii="Calibri" w:hAnsi="Calibri"/>
                <w:sz w:val="22"/>
              </w:rPr>
              <w:t>N/A (no FY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Adjusted EBITDA (Q2 2026)</w:t>
            </w:r>
          </w:p>
        </w:tc>
        <w:tc>
          <w:tcPr>
            <w:tcW w:type="dxa" w:w="1080"/>
          </w:tcPr>
          <w:p>
            <w:r>
              <w:rPr>
                <w:rFonts w:ascii="Calibri" w:hAnsi="Calibri"/>
                <w:sz w:val="22"/>
              </w:rPr>
              <w:t>$2.759B</w:t>
            </w:r>
          </w:p>
        </w:tc>
        <w:tc>
          <w:tcPr>
            <w:tcW w:type="dxa" w:w="1080"/>
          </w:tcPr>
          <w:p>
            <w:r>
              <w:rPr>
                <w:rFonts w:ascii="Calibri" w:hAnsi="Calibri"/>
                <w:sz w:val="22"/>
              </w:rPr>
              <w:t>$2.761B</w:t>
            </w:r>
          </w:p>
        </w:tc>
        <w:tc>
          <w:tcPr>
            <w:tcW w:type="dxa" w:w="1080"/>
          </w:tcPr>
          <w:p>
            <w:r>
              <w:rPr>
                <w:rFonts w:ascii="Calibri" w:hAnsi="Calibri"/>
                <w:sz w:val="22"/>
              </w:rPr>
              <w:t>+0.1%</w:t>
            </w:r>
          </w:p>
        </w:tc>
        <w:tc>
          <w:tcPr>
            <w:tcW w:type="dxa" w:w="1080"/>
          </w:tcPr>
          <w:p>
            <w:r>
              <w:rPr>
                <w:rFonts w:ascii="Calibri" w:hAnsi="Calibri"/>
                <w:sz w:val="22"/>
              </w:rPr>
              <w:t>$2.70B – $2.80B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midpoint</w:t>
            </w:r>
          </w:p>
        </w:tc>
      </w:tr>
      <w:tr>
        <w:tc>
          <w:tcPr>
            <w:tcW w:type="dxa" w:w="1080"/>
          </w:tcPr>
          <w:p>
            <w:r>
              <w:rPr>
                <w:rFonts w:ascii="Calibri" w:hAnsi="Calibri"/>
                <w:sz w:val="22"/>
              </w:rPr>
              <w:t>Adjusted EBITDA (FY 2026)</w:t>
            </w:r>
          </w:p>
        </w:tc>
        <w:tc>
          <w:tcPr>
            <w:tcW w:type="dxa" w:w="1080"/>
          </w:tcPr>
          <w:p>
            <w:r>
              <w:rPr>
                <w:rFonts w:ascii="Calibri" w:hAnsi="Calibri"/>
                <w:sz w:val="22"/>
              </w:rPr>
              <w:t>$11.28B</w:t>
            </w:r>
          </w:p>
        </w:tc>
        <w:tc>
          <w:tcPr>
            <w:tcW w:type="dxa" w:w="1080"/>
          </w:tcPr>
          <w:p>
            <w:r>
              <w:rPr>
                <w:rFonts w:ascii="Calibri" w:hAnsi="Calibri"/>
                <w:sz w:val="22"/>
              </w:rPr>
              <w:t>$11.29B</w:t>
            </w:r>
          </w:p>
        </w:tc>
        <w:tc>
          <w:tcPr>
            <w:tcW w:type="dxa" w:w="1080"/>
          </w:tcPr>
          <w:p>
            <w:r>
              <w:rPr>
                <w:rFonts w:ascii="Calibri" w:hAnsi="Calibri"/>
                <w:sz w:val="22"/>
              </w:rPr>
              <w:t>+0.1%</w:t>
            </w:r>
          </w:p>
        </w:tc>
        <w:tc>
          <w:tcPr>
            <w:tcW w:type="dxa" w:w="1080"/>
          </w:tcPr>
          <w:p>
            <w:r>
              <w:rPr>
                <w:rFonts w:ascii="Calibri" w:hAnsi="Calibri"/>
                <w:sz w:val="22"/>
              </w:rPr>
              <w:t>N/A (no FY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(Q2 2026)</w:t>
            </w:r>
          </w:p>
        </w:tc>
        <w:tc>
          <w:tcPr>
            <w:tcW w:type="dxa" w:w="1080"/>
          </w:tcPr>
          <w:p>
            <w:r>
              <w:rPr>
                <w:rFonts w:ascii="Calibri" w:hAnsi="Calibri"/>
                <w:sz w:val="22"/>
              </w:rPr>
              <w:t>$0.803</w:t>
            </w:r>
          </w:p>
        </w:tc>
        <w:tc>
          <w:tcPr>
            <w:tcW w:type="dxa" w:w="1080"/>
          </w:tcPr>
          <w:p>
            <w:r>
              <w:rPr>
                <w:rFonts w:ascii="Calibri" w:hAnsi="Calibri"/>
                <w:sz w:val="22"/>
              </w:rPr>
              <w:t>$0.804</w:t>
            </w:r>
          </w:p>
        </w:tc>
        <w:tc>
          <w:tcPr>
            <w:tcW w:type="dxa" w:w="1080"/>
          </w:tcPr>
          <w:p>
            <w:r>
              <w:rPr>
                <w:rFonts w:ascii="Calibri" w:hAnsi="Calibri"/>
                <w:sz w:val="22"/>
              </w:rPr>
              <w:t>+0.2%</w:t>
            </w:r>
          </w:p>
        </w:tc>
        <w:tc>
          <w:tcPr>
            <w:tcW w:type="dxa" w:w="1080"/>
          </w:tcPr>
          <w:p>
            <w:r>
              <w:rPr>
                <w:rFonts w:ascii="Calibri" w:hAnsi="Calibri"/>
                <w:sz w:val="22"/>
              </w:rPr>
              <w:t>$0.78 – $0.82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midpoint ($0.80)</w:t>
            </w:r>
          </w:p>
        </w:tc>
      </w:tr>
      <w:tr>
        <w:tc>
          <w:tcPr>
            <w:tcW w:type="dxa" w:w="1080"/>
          </w:tcPr>
          <w:p>
            <w:r>
              <w:rPr>
                <w:rFonts w:ascii="Calibri" w:hAnsi="Calibri"/>
                <w:sz w:val="22"/>
              </w:rPr>
              <w:t>Non-GAAP EPS (FY 2026)</w:t>
            </w:r>
          </w:p>
        </w:tc>
        <w:tc>
          <w:tcPr>
            <w:tcW w:type="dxa" w:w="1080"/>
          </w:tcPr>
          <w:p>
            <w:r>
              <w:rPr>
                <w:rFonts w:ascii="Calibri" w:hAnsi="Calibri"/>
                <w:sz w:val="22"/>
              </w:rPr>
              <w:t>$3.355</w:t>
            </w:r>
          </w:p>
        </w:tc>
        <w:tc>
          <w:tcPr>
            <w:tcW w:type="dxa" w:w="1080"/>
          </w:tcPr>
          <w:p>
            <w:r>
              <w:rPr>
                <w:rFonts w:ascii="Calibri" w:hAnsi="Calibri"/>
                <w:sz w:val="22"/>
              </w:rPr>
              <w:t>$3.359</w:t>
            </w:r>
          </w:p>
        </w:tc>
        <w:tc>
          <w:tcPr>
            <w:tcW w:type="dxa" w:w="1080"/>
          </w:tcPr>
          <w:p>
            <w:r>
              <w:rPr>
                <w:rFonts w:ascii="Calibri" w:hAnsi="Calibri"/>
                <w:sz w:val="22"/>
              </w:rPr>
              <w:t>+0.1%</w:t>
            </w:r>
          </w:p>
        </w:tc>
        <w:tc>
          <w:tcPr>
            <w:tcW w:type="dxa" w:w="1080"/>
          </w:tcPr>
          <w:p>
            <w:r>
              <w:rPr>
                <w:rFonts w:ascii="Calibri" w:hAnsi="Calibri"/>
                <w:sz w:val="22"/>
              </w:rPr>
              <w:t>N/A (no FY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(revision history table, weekly frequency, May 15 – Aug 4, 2026). Post-Q1 baseline taken as of May 15, 2026 (~5 trading days post-print). </w:t>
      </w:r>
      <w:r>
        <w:rPr>
          <w:rFonts w:ascii="Calibri" w:hAnsi="Calibri"/>
          <w:i/>
          <w:color w:val="525866"/>
          <w:sz w:val="22"/>
        </w:rPr>
        <w:t>The near-zero estimate drift across all KPIs over 12 weeks is unusual and reflects the Street's high confidence in Uber's guidance framework. The primary risk to estimates is not a guidance miss but rather the market's re-rating of the multiple in response to the Delivery Hero acquisition and its capital allocation implications.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UBER has underperformed both the transportation sector proxy (IYT) and the S&amp;P 500 by a wide margin since the Q1 print — down ~9% vs. IYT roughly flat and SPY up ~5% — driven </w:t>
      </w:r>
    </w:p>
    <w:p>
      <w:r>
        <w:rPr>
          <w:rFonts w:ascii="Calibri" w:hAnsi="Calibri"/>
          <w:b/>
          <w:color w:val="525866"/>
          <w:sz w:val="22"/>
        </w:rPr>
        <w:t xml:space="preserve">Key Takeaway: </w:t>
      </w:r>
      <w:r>
        <w:rPr>
          <w:rFonts w:ascii="Calibri" w:hAnsi="Calibri"/>
          <w:color w:val="525866"/>
          <w:sz w:val="22"/>
        </w:rPr>
        <w:t xml:space="preserve">UBER has underperformed both the transportation sector proxy (IYT) and the S&amp;P 500 by a wide margin since the Q1 print — down ~9% vs. IYT roughly flat and SPY up ~5% — driven entirely by </w:t>
      </w:r>
    </w:p>
    <w:p>
      <w:r>
        <w:rPr>
          <w:rFonts w:ascii="Calibri" w:hAnsi="Calibri"/>
          <w:b/>
          <w:color w:val="525866"/>
          <w:sz w:val="22"/>
        </w:rPr>
        <w:t xml:space="preserve">Key Takeaway: </w:t>
      </w:r>
      <w:r>
        <w:rPr>
          <w:rFonts w:ascii="Calibri" w:hAnsi="Calibri"/>
          <w:color w:val="525866"/>
          <w:sz w:val="22"/>
        </w:rPr>
        <w:t xml:space="preserve">UBER has underperformed both the transportation sector proxy (IYT) and the S&amp;P 500 since the Q1 print, driven entirely by </w:t>
      </w:r>
    </w:p>
    <w:p>
      <w:r>
        <w:rPr>
          <w:rFonts w:ascii="Calibri" w:hAnsi="Calibri"/>
          <w:b/>
          <w:color w:val="525866"/>
          <w:sz w:val="22"/>
        </w:rPr>
        <w:t xml:space="preserve">Key Takeaway: </w:t>
      </w:r>
      <w:r>
        <w:rPr>
          <w:rFonts w:ascii="Calibri" w:hAnsi="Calibri"/>
          <w:color w:val="525866"/>
          <w:sz w:val="22"/>
        </w:rPr>
        <w:t xml:space="preserve">UBER is down ~9% since the Q1 print vs. IYT (broad transportation proxy) roughly flat and SPY up ~5%, with the underperformance driven </w:t>
      </w:r>
    </w:p>
    <w:p>
      <w:r>
        <w:rPr>
          <w:rFonts w:ascii="Calibri" w:hAnsi="Calibri"/>
          <w:b/>
          <w:color w:val="525866"/>
          <w:sz w:val="22"/>
        </w:rPr>
        <w:t xml:space="preserve">Key Takeaway: </w:t>
      </w:r>
      <w:r>
        <w:rPr>
          <w:rFonts w:ascii="Calibri" w:hAnsi="Calibri"/>
          <w:color w:val="525866"/>
          <w:sz w:val="22"/>
        </w:rPr>
        <w:t xml:space="preserve">UBER is down ~9% since the Q1 print vs. IYT (broad transportation ETF — note: IYT is a broad transportation proxy covering airlines, trucking, and rails, not a pure ride-hailing benchmark) roughly flat and SPY up ~5%, with the underperformance driven </w:t>
      </w:r>
    </w:p>
    <w:p>
      <w:r>
        <w:rPr>
          <w:rFonts w:ascii="Calibri" w:hAnsi="Calibri"/>
          <w:b/>
          <w:color w:val="525866"/>
          <w:sz w:val="22"/>
        </w:rPr>
        <w:t>entirely by multiple compression</w:t>
      </w:r>
      <w:r>
        <w:rPr>
          <w:rFonts w:ascii="Calibri" w:hAnsi="Calibri"/>
          <w:color w:val="525866"/>
          <w:sz w:val="22"/>
        </w:rPr>
        <w:t xml:space="preserve"> (NTM EV/EBITDA contracted from ~15x to ~12x) rather than estimate cuts — a setup that could mean a sharp re-rating on a clean beat-and-raise, or further de-rating if the Delivery Hero deal dominates the narrative.</w:t>
      </w:r>
    </w:p>
    <w:p>
      <w:r>
        <w:rPr>
          <w:rFonts w:ascii="Calibri" w:hAnsi="Calibri"/>
          <w:b/>
          <w:color w:val="525866"/>
          <w:sz w:val="22"/>
        </w:rPr>
        <w:t xml:space="preserve">Note on benchmark: </w:t>
      </w:r>
      <w:r>
        <w:rPr>
          <w:rFonts w:ascii="Calibri" w:hAnsi="Calibri"/>
          <w:i/>
          <w:color w:val="525866"/>
          <w:sz w:val="22"/>
        </w:rPr>
        <w:t>IYT (iShares Transportation Average ETF) is used as the sector proxy. It is a broad transportation index covering airlines, trucking, rails, and logistics — not a pure ride-hailing or gig-economy benchmark. UBER's underperformance vs. IYT is therefore company-specific rather than sector-driven.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UBER Return</w:t>
            </w:r>
          </w:p>
        </w:tc>
        <w:tc>
          <w:tcPr>
            <w:tcW w:type="dxa" w:w="1728"/>
            <w:shd w:val="clear" w:color="auto" w:fill="3B4259"/>
          </w:tcPr>
          <w:p>
            <w:r>
              <w:rPr>
                <w:rFonts w:ascii="Calibri" w:hAnsi="Calibri"/>
                <w:b/>
                <w:color w:val="FFFFFF"/>
                <w:sz w:val="22"/>
              </w:rPr>
              <w:t>IYT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UBER vs. SPY</w:t>
            </w:r>
          </w:p>
        </w:tc>
      </w:tr>
      <w:tr>
        <w:tc>
          <w:tcPr>
            <w:tcW w:type="dxa" w:w="1728"/>
          </w:tcPr>
          <w:p>
            <w:r>
              <w:rPr>
                <w:rFonts w:ascii="Calibri" w:hAnsi="Calibri"/>
                <w:sz w:val="22"/>
              </w:rPr>
              <w:t>Since Q1 Print (May 6 – Aug 4, 2026)</w:t>
            </w:r>
          </w:p>
        </w:tc>
        <w:tc>
          <w:tcPr>
            <w:tcW w:type="dxa" w:w="1728"/>
          </w:tcPr>
          <w:p>
            <w:r>
              <w:rPr>
                <w:rFonts w:ascii="Calibri" w:hAnsi="Calibri"/>
                <w:b/>
                <w:color w:val="E5484D"/>
                <w:sz w:val="22"/>
              </w:rPr>
              <w:t>-9.1% ($79.17 → $71.99)</w:t>
            </w:r>
          </w:p>
        </w:tc>
        <w:tc>
          <w:tcPr>
            <w:tcW w:type="dxa" w:w="1728"/>
          </w:tcPr>
          <w:p>
            <w:r>
              <w:rPr>
                <w:rFonts w:ascii="Calibri" w:hAnsi="Calibri"/>
                <w:sz w:val="22"/>
              </w:rPr>
              <w:t>+7.6% ($81.61 → $87.85)</w:t>
            </w:r>
          </w:p>
        </w:tc>
        <w:tc>
          <w:tcPr>
            <w:tcW w:type="dxa" w:w="1728"/>
          </w:tcPr>
          <w:p>
            <w:r>
              <w:rPr>
                <w:rFonts w:ascii="Calibri" w:hAnsi="Calibri"/>
                <w:sz w:val="22"/>
              </w:rPr>
              <w:t>+5.1% ($733.83 → $771.33)</w:t>
            </w:r>
          </w:p>
        </w:tc>
        <w:tc>
          <w:tcPr>
            <w:tcW w:type="dxa" w:w="1728"/>
          </w:tcPr>
          <w:p>
            <w:r>
              <w:rPr>
                <w:rFonts w:ascii="Calibri" w:hAnsi="Calibri"/>
                <w:b/>
                <w:color w:val="E5484D"/>
                <w:sz w:val="22"/>
              </w:rPr>
              <w:t>-14.2pp</w:t>
            </w:r>
          </w:p>
        </w:tc>
      </w:tr>
      <w:tr>
        <w:tc>
          <w:tcPr>
            <w:tcW w:type="dxa" w:w="1728"/>
          </w:tcPr>
          <w:p>
            <w:r>
              <w:rPr>
                <w:rFonts w:ascii="Calibri" w:hAnsi="Calibri"/>
                <w:sz w:val="22"/>
              </w:rPr>
              <w:t>Key Event: Delivery Hero Deal (Jul 16)</w:t>
            </w:r>
          </w:p>
        </w:tc>
        <w:tc>
          <w:tcPr>
            <w:tcW w:type="dxa" w:w="1728"/>
          </w:tcPr>
          <w:p>
            <w:r>
              <w:rPr>
                <w:rFonts w:ascii="Calibri" w:hAnsi="Calibri"/>
                <w:sz w:val="22"/>
              </w:rPr>
              <w:t>~$72 → ~$72 (flat on day)</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Muted initial reaction; deal details absorbed over subsequent days</w:t>
            </w:r>
          </w:p>
        </w:tc>
      </w:tr>
      <w:tr>
        <w:tc>
          <w:tcPr>
            <w:tcW w:type="dxa" w:w="1728"/>
          </w:tcPr>
          <w:p>
            <w:r>
              <w:rPr>
                <w:rFonts w:ascii="Calibri" w:hAnsi="Calibri"/>
                <w:sz w:val="22"/>
              </w:rPr>
              <w:t>Key Event: Waymo Exclusivity Breakup (Jul 24)</w:t>
            </w:r>
          </w:p>
        </w:tc>
        <w:tc>
          <w:tcPr>
            <w:tcW w:type="dxa" w:w="1728"/>
          </w:tcPr>
          <w:p>
            <w:r>
              <w:rPr>
                <w:rFonts w:ascii="Calibri" w:hAnsi="Calibri"/>
                <w:b/>
                <w:color w:val="E5484D"/>
                <w:sz w:val="22"/>
              </w:rPr>
              <w:t>~$72 → ~$65.94 (-4.1% on day)</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Largest single-day drop in the period; AV competitive fears re-priced</w:t>
            </w:r>
          </w:p>
        </w:tc>
      </w:tr>
      <w:tr>
        <w:tc>
          <w:tcPr>
            <w:tcW w:type="dxa" w:w="1728"/>
          </w:tcPr>
          <w:p>
            <w:r>
              <w:rPr>
                <w:rFonts w:ascii="Calibri" w:hAnsi="Calibri"/>
                <w:sz w:val="22"/>
              </w:rPr>
              <w:t>Recovery (Jul 27 – Aug 4)</w:t>
            </w:r>
          </w:p>
        </w:tc>
        <w:tc>
          <w:tcPr>
            <w:tcW w:type="dxa" w:w="1728"/>
          </w:tcPr>
          <w:p>
            <w:r>
              <w:rPr>
                <w:rFonts w:ascii="Calibri" w:hAnsi="Calibri"/>
                <w:b/>
                <w:color w:val="30A46C"/>
                <w:sz w:val="22"/>
              </w:rPr>
              <w:t>+9.2% ($65.94 → $71.99)</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Partial recovery into earnings; still well below pre-Waymo news levels</w:t>
            </w:r>
          </w:p>
        </w:tc>
      </w:tr>
    </w:tbl>
    <w:p>
      <w:r>
        <w:rPr>
          <w:rFonts w:ascii="Calibri" w:hAnsi="Calibri"/>
          <w:i/>
          <w:color w:val="525866"/>
          <w:sz w:val="22"/>
        </w:rPr>
        <w:t>Source: Stock Price Data (Yahoo Finance). Indexed returns computed close-to-close from May 6, 2026 (Q1 earnings date) through August 4, 2026. IYT = iShares Transportation Average ETF (broad transportation proxy; not a pure ride-hailing benchmark). Valuation decomposition: NTM EV/EBITDA contracted from ~15.1x (6 months ago) to ~11.9x (current), per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w:t>
      </w:r>
    </w:p>
    <w:p>
      <w:r>
        <w:rPr>
          <w:rFonts w:ascii="Calibri" w:hAnsi="Calibri"/>
          <w:b/>
          <w:color w:val="525866"/>
          <w:sz w:val="22"/>
        </w:rPr>
        <w:t xml:space="preserve">Key Takeaway: </w:t>
      </w:r>
      <w:r>
        <w:rPr>
          <w:rFonts w:ascii="Calibri" w:hAnsi="Calibri"/>
          <w:color w:val="525866"/>
          <w:sz w:val="22"/>
        </w:rPr>
        <w:t>The $14.2B Delivery Hero acquisition (July 16) is the most consequential development since the Q1 print — it transforms Uber's capital allocation story and will dominate the Q2 call; the Waymo exclusivity breakup (July 24) is the second major overhang, crystallizing AV competitive risk that the market had previously treated as theoretical.</w:t>
      </w:r>
    </w:p>
    <w:p>
      <w:pPr>
        <w:pStyle w:val="ListBullet"/>
        <w:ind w:left="360" w:hanging="360"/>
      </w:pPr>
      <w:r>
        <w:rPr>
          <w:rFonts w:ascii="Calibri" w:hAnsi="Calibri"/>
          <w:b/>
          <w:color w:val="525866"/>
          <w:sz w:val="22"/>
        </w:rPr>
        <w:t>July 16, 2026 — Uber announces €41.50/share ($14.2B equity value) takeover offer for Delivery Hero SE.</w:t>
      </w:r>
      <w:r>
        <w:rPr>
          <w:rFonts w:ascii="Calibri" w:hAnsi="Calibri"/>
          <w:color w:val="525866"/>
          <w:sz w:val="22"/>
        </w:rPr>
        <w:t xml:space="preserve"> Uber's wholly-owned subsidiary will launch a voluntary public tender offer for all Delivery Hero shares not already held by Uber (existing ~37% stake). Delivery Hero boards unanimously support the offer; Prosus (~17% stake) has irrevocably agreed to tender. Deal funded via existing cash + €14.2B bridge facility; gross leverage to remain &lt;2x; expected to close H2 2027 pending regulatory approvals. Transaction expected to be Non-GAAP EPS accretive at close, with high-single-digit % accretion by year 3. Synergies of &gt;$1.2B annualized within 18 months. </w:t>
      </w:r>
    </w:p>
    <w:p>
      <w:pPr>
        <w:pStyle w:val="ListBullet"/>
        <w:ind w:left="360" w:hanging="360"/>
      </w:pPr>
      <w:r>
        <w:rPr>
          <w:rFonts w:ascii="Calibri" w:hAnsi="Calibri"/>
          <w:i/>
          <w:color w:val="525866"/>
          <w:sz w:val="22"/>
        </w:rPr>
        <w:t xml:space="preserve">Implication: </w:t>
      </w:r>
      <w:r>
        <w:rPr>
          <w:rFonts w:ascii="Calibri" w:hAnsi="Calibri"/>
          <w:i/>
          <w:color w:val="525866"/>
          <w:sz w:val="22"/>
        </w:rPr>
        <w:t>Largest acquisition in Uber's history; transforms the delivery competitive landscape and cross-platform TAM but introduces significant regulatory, integration, and leverage risk. Buyback capacity materially reduced near-term. Market will demand clarity on EPS accretion timeline and leverage path.</w:t>
      </w:r>
    </w:p>
    <w:p>
      <w:pPr>
        <w:pStyle w:val="ListBullet"/>
        <w:ind w:left="360" w:hanging="360"/>
      </w:pPr>
      <w:r>
        <w:rPr>
          <w:rFonts w:ascii="Calibri" w:hAnsi="Calibri"/>
          <w:b/>
          <w:color w:val="525866"/>
          <w:sz w:val="22"/>
        </w:rPr>
        <w:t>July 24, 2026 — Waymo and Uber announce end of exclusivity in Austin and Atlanta.</w:t>
      </w:r>
      <w:r>
        <w:rPr>
          <w:rFonts w:ascii="Calibri" w:hAnsi="Calibri"/>
          <w:color w:val="525866"/>
          <w:sz w:val="22"/>
        </w:rPr>
        <w:t xml:space="preserve"> Waymo will launch its own consumer app in both markets in January 2028 alongside the existing Uber partnership, with the Uber contract running through May 2028. Uber shares fell ~4% on the news. Uber has been accelerating non-Waymo AV partnerships (Waabi, Wayve, Nuro, Rivian fleet commitments). </w:t>
      </w:r>
    </w:p>
    <w:p>
      <w:pPr>
        <w:pStyle w:val="ListBullet"/>
        <w:ind w:left="360" w:hanging="360"/>
      </w:pPr>
      <w:r>
        <w:rPr>
          <w:rFonts w:ascii="Calibri" w:hAnsi="Calibri"/>
          <w:i/>
          <w:color w:val="525866"/>
          <w:sz w:val="22"/>
        </w:rPr>
        <w:t xml:space="preserve">Implication: </w:t>
      </w:r>
      <w:r>
        <w:rPr>
          <w:rFonts w:ascii="Calibri" w:hAnsi="Calibri"/>
          <w:i/>
          <w:color w:val="525866"/>
          <w:sz w:val="22"/>
        </w:rPr>
        <w:t>Confirms the Waymo relationship is deteriorating and that Uber's AV network strategy will increasingly rely on non-Waymo partners. Near-term revenue impact is minimal (Waymo trips are a small fraction of total), but the signal matters for the long-term AV narrative.</w:t>
      </w:r>
    </w:p>
    <w:p>
      <w:pPr>
        <w:pStyle w:val="ListBullet"/>
        <w:ind w:left="360" w:hanging="360"/>
      </w:pPr>
      <w:r>
        <w:rPr>
          <w:rFonts w:ascii="Calibri" w:hAnsi="Calibri"/>
          <w:b/>
          <w:color w:val="525866"/>
          <w:sz w:val="22"/>
        </w:rPr>
        <w:t>July 27, 2026 — Waymo reportedly considering exiting its Uber partnership entirely</w:t>
      </w:r>
      <w:r>
        <w:rPr>
          <w:rFonts w:ascii="Calibri" w:hAnsi="Calibri"/>
          <w:color w:val="525866"/>
          <w:sz w:val="22"/>
        </w:rPr>
        <w:t xml:space="preserve"> (FT, CNBC). Tensions have escalated over AV regulation in Washington D.C. and public criticism of Waymo robotaxi behavior by Uber's CEO and CTO. </w:t>
      </w:r>
    </w:p>
    <w:p>
      <w:pPr>
        <w:pStyle w:val="ListBullet"/>
        <w:ind w:left="360" w:hanging="360"/>
      </w:pPr>
      <w:r>
        <w:rPr>
          <w:rFonts w:ascii="Calibri" w:hAnsi="Calibri"/>
          <w:i/>
          <w:color w:val="525866"/>
          <w:sz w:val="22"/>
        </w:rPr>
        <w:t xml:space="preserve">Implication: </w:t>
      </w:r>
      <w:r>
        <w:rPr>
          <w:rFonts w:ascii="Calibri" w:hAnsi="Calibri"/>
          <w:i/>
          <w:color w:val="525866"/>
          <w:sz w:val="22"/>
        </w:rPr>
        <w:t>Adds to AV competitive anxiety; management will likely be pressed on the Waymo relationship and the pace of alternative AV deployments on the Q2 call.</w:t>
      </w:r>
    </w:p>
    <w:p>
      <w:pPr>
        <w:pStyle w:val="ListBullet"/>
        <w:ind w:left="360" w:hanging="360"/>
      </w:pPr>
      <w:r>
        <w:rPr>
          <w:rFonts w:ascii="Calibri" w:hAnsi="Calibri"/>
          <w:b/>
          <w:color w:val="525866"/>
          <w:sz w:val="22"/>
        </w:rPr>
        <w:t>July 26, 2026 — Uber invests $100M in Atoms (Travis Kalanick's holding company)</w:t>
      </w:r>
      <w:r>
        <w:rPr>
          <w:rFonts w:ascii="Calibri" w:hAnsi="Calibri"/>
          <w:color w:val="525866"/>
          <w:sz w:val="22"/>
        </w:rPr>
        <w:t xml:space="preserve"> as part of a $1.7B round led by a16z. Atoms has acquired Pronto, an industrial automation startup. </w:t>
      </w:r>
    </w:p>
    <w:p>
      <w:pPr>
        <w:pStyle w:val="ListBullet"/>
        <w:ind w:left="360" w:hanging="360"/>
      </w:pPr>
      <w:r>
        <w:rPr>
          <w:rFonts w:ascii="Calibri" w:hAnsi="Calibri"/>
          <w:i/>
          <w:color w:val="525866"/>
          <w:sz w:val="22"/>
        </w:rPr>
        <w:t xml:space="preserve">Implication: </w:t>
      </w:r>
      <w:r>
        <w:rPr>
          <w:rFonts w:ascii="Calibri" w:hAnsi="Calibri"/>
          <w:i/>
          <w:color w:val="525866"/>
          <w:sz w:val="22"/>
        </w:rPr>
        <w:t>Unusual given the Delivery Hero capital commitment; signals Uber is maintaining its AV/automation investment posture even while absorbing a major M&amp;A deal.</w:t>
      </w:r>
    </w:p>
    <w:p>
      <w:pPr>
        <w:pStyle w:val="ListBullet"/>
        <w:ind w:left="360" w:hanging="360"/>
      </w:pPr>
      <w:r>
        <w:rPr>
          <w:rFonts w:ascii="Calibri" w:hAnsi="Calibri"/>
          <w:b/>
          <w:color w:val="525866"/>
          <w:sz w:val="22"/>
        </w:rPr>
        <w:t>July 23, 2026 — Uber cuts ~10% of customer service jobs</w:t>
      </w:r>
      <w:r>
        <w:rPr>
          <w:rFonts w:ascii="Calibri" w:hAnsi="Calibri"/>
          <w:color w:val="525866"/>
          <w:sz w:val="22"/>
        </w:rPr>
        <w:t xml:space="preserve">, citing AI adoption. Consistent with CFO commentary at Bernstein (May 28) that AI productivity gains are now tangible enough to directly influence workforce planning. </w:t>
      </w:r>
    </w:p>
    <w:p>
      <w:pPr>
        <w:pStyle w:val="ListBullet"/>
        <w:ind w:left="360" w:hanging="360"/>
      </w:pPr>
      <w:r>
        <w:rPr>
          <w:rFonts w:ascii="Calibri" w:hAnsi="Calibri"/>
          <w:i/>
          <w:color w:val="525866"/>
          <w:sz w:val="22"/>
        </w:rPr>
        <w:t xml:space="preserve">Implication: </w:t>
      </w:r>
      <w:r>
        <w:rPr>
          <w:rFonts w:ascii="Calibri" w:hAnsi="Calibri"/>
          <w:i/>
          <w:color w:val="525866"/>
          <w:sz w:val="22"/>
        </w:rPr>
        <w:t>Positive for margins; validates the AI productivity narrative management has been building since Q1. Watch for quantification on the Q2 call.</w:t>
      </w:r>
    </w:p>
    <w:p>
      <w:pPr>
        <w:pStyle w:val="ListBullet"/>
        <w:ind w:left="360" w:hanging="360"/>
      </w:pPr>
      <w:r>
        <w:rPr>
          <w:rFonts w:ascii="Calibri" w:hAnsi="Calibri"/>
          <w:b/>
          <w:color w:val="525866"/>
          <w:sz w:val="22"/>
        </w:rPr>
        <w:t>August 1, 2026 — Uber's AV deal tracker (TechCrunch)</w:t>
      </w:r>
      <w:r>
        <w:rPr>
          <w:rFonts w:ascii="Calibri" w:hAnsi="Calibri"/>
          <w:color w:val="525866"/>
          <w:sz w:val="22"/>
        </w:rPr>
        <w:t xml:space="preserve"> highlights 30+ AV partnerships including Aurora (19.7% equity stake), Avride (Uber Eats delivery robots in Austin/Dallas), and Autobrains (Munich robotaxi pilot pending regulatory approval). </w:t>
      </w:r>
    </w:p>
    <w:p>
      <w:pPr>
        <w:pStyle w:val="ListBullet"/>
        <w:ind w:left="360" w:hanging="360"/>
      </w:pPr>
      <w:r>
        <w:rPr>
          <w:rFonts w:ascii="Calibri" w:hAnsi="Calibri"/>
          <w:i/>
          <w:color w:val="525866"/>
          <w:sz w:val="22"/>
        </w:rPr>
        <w:t xml:space="preserve">Implication: </w:t>
      </w:r>
      <w:r>
        <w:rPr>
          <w:rFonts w:ascii="Calibri" w:hAnsi="Calibri"/>
          <w:i/>
          <w:color w:val="525866"/>
          <w:sz w:val="22"/>
        </w:rPr>
        <w:t>Reinforces the breadth of Uber's AV network strategy as a counternarrative to Waymo dependency concerns.</w:t>
      </w:r>
    </w:p>
    <w:p>
      <w:pPr>
        <w:pStyle w:val="ListBullet"/>
        <w:ind w:left="360" w:hanging="360"/>
      </w:pPr>
      <w:r>
        <w:rPr>
          <w:rFonts w:ascii="Calibri" w:hAnsi="Calibri"/>
          <w:b/>
          <w:color w:val="525866"/>
          <w:sz w:val="22"/>
        </w:rPr>
        <w:t>July 27, 2026 — Uber pilots low-cost EVs in Africa (Johannesburg)</w:t>
      </w:r>
      <w:r>
        <w:rPr>
          <w:rFonts w:ascii="Calibri" w:hAnsi="Calibri"/>
          <w:color w:val="525866"/>
          <w:sz w:val="22"/>
        </w:rPr>
        <w:t xml:space="preserve"> through partner Valternative; 360 cars deployed with plans to expand. Demand attributed partly to fuel price increases from the US-Iran conflict. </w:t>
      </w:r>
    </w:p>
    <w:p>
      <w:pPr>
        <w:pStyle w:val="ListBullet"/>
        <w:ind w:left="360" w:hanging="360"/>
      </w:pPr>
      <w:r>
        <w:rPr>
          <w:rFonts w:ascii="Calibri" w:hAnsi="Calibri"/>
          <w:i/>
          <w:color w:val="525866"/>
          <w:sz w:val="22"/>
        </w:rPr>
        <w:t xml:space="preserve">Implication: </w:t>
      </w:r>
      <w:r>
        <w:rPr>
          <w:rFonts w:ascii="Calibri" w:hAnsi="Calibri"/>
          <w:i/>
          <w:color w:val="525866"/>
          <w:sz w:val="22"/>
        </w:rPr>
        <w:t>Incremental positive for international Mobility growth; consistent with the sparse/emerging market expansion narrative.</w:t>
      </w:r>
    </w:p>
    <w:p>
      <w:r>
        <w:br w:type="page"/>
      </w:r>
    </w:p>
    <w:p>
      <w:pPr>
        <w:pStyle w:val="Heading1"/>
        <w:pBdr>
          <w:bottom w:val="single" w:sz="4" w:space="1" w:color="FB9120"/>
        </w:pBdr>
      </w:pPr>
      <w:r>
        <w:rPr>
          <w:rFonts w:ascii="Calibri" w:hAnsi="Calibri"/>
          <w:b/>
          <w:color w:val="3B4259"/>
          <w:sz w:val="40"/>
        </w:rPr>
        <w:t>7. Peer Commentary Read-Through</w:t>
      </w:r>
    </w:p>
    <w:p>
      <w:r>
        <w:rPr>
          <w:rFonts w:ascii="Calibri" w:hAnsi="Calibri"/>
          <w:b/>
          <w:color w:val="525866"/>
          <w:sz w:val="22"/>
        </w:rPr>
        <w:t xml:space="preserve">Key Takeaway: </w:t>
      </w:r>
      <w:r>
        <w:rPr>
          <w:rFonts w:ascii="Calibri" w:hAnsi="Calibri"/>
          <w:color w:val="525866"/>
          <w:sz w:val="22"/>
        </w:rPr>
        <w:t xml:space="preserve">No direct ride-hailing peers (Lyft, DoorDash) have reported Q2 2026 results before Uber — both report on August 5 alongside or after Uber. The most relevant read-through available is </w:t>
      </w:r>
    </w:p>
    <w:p>
      <w:r>
        <w:rPr>
          <w:rFonts w:ascii="Calibri" w:hAnsi="Calibri"/>
          <w:b/>
          <w:color w:val="525866"/>
          <w:sz w:val="22"/>
        </w:rPr>
        <w:t xml:space="preserve">Key Takeaway: </w:t>
      </w:r>
      <w:r>
        <w:rPr>
          <w:rFonts w:ascii="Calibri" w:hAnsi="Calibri"/>
          <w:color w:val="525866"/>
          <w:sz w:val="22"/>
        </w:rPr>
        <w:t xml:space="preserve">No direct ride-hailing or delivery peers have reported Q2 2026 results ahead of Uber — Lyft and DoorDash both report on or after August 5. The most actionable read-through is </w:t>
      </w:r>
    </w:p>
    <w:p>
      <w:r>
        <w:rPr>
          <w:rFonts w:ascii="Calibri" w:hAnsi="Calibri"/>
          <w:b/>
          <w:color w:val="525866"/>
          <w:sz w:val="22"/>
        </w:rPr>
        <w:t xml:space="preserve">Key Takeaway: </w:t>
      </w:r>
      <w:r>
        <w:rPr>
          <w:rFonts w:ascii="Calibri" w:hAnsi="Calibri"/>
          <w:color w:val="525866"/>
          <w:sz w:val="22"/>
        </w:rPr>
        <w:t xml:space="preserve">No direct ride-hailing peers have reported Q2 2026 results before Uber. The most relevant available read-through is Booking Holdings' Q2 2026 results (reported August 4), which provide a </w:t>
      </w:r>
    </w:p>
    <w:p>
      <w:r>
        <w:rPr>
          <w:rFonts w:ascii="Calibri" w:hAnsi="Calibri"/>
          <w:b/>
          <w:color w:val="525866"/>
          <w:sz w:val="22"/>
        </w:rPr>
        <w:t xml:space="preserve">Key Takeaway: </w:t>
      </w:r>
      <w:r>
        <w:rPr>
          <w:rFonts w:ascii="Calibri" w:hAnsi="Calibri"/>
          <w:color w:val="525866"/>
          <w:sz w:val="22"/>
        </w:rPr>
        <w:t xml:space="preserve">No direct ride-hailing or delivery peers have reported Q2 2026 results ahead of Uber's August 5 print. The most relevant available read-through is </w:t>
      </w:r>
    </w:p>
    <w:p>
      <w:r>
        <w:rPr>
          <w:rFonts w:ascii="Calibri" w:hAnsi="Calibri"/>
          <w:b/>
          <w:color w:val="525866"/>
          <w:sz w:val="22"/>
        </w:rPr>
        <w:t xml:space="preserve">Key Takeaway: </w:t>
      </w:r>
      <w:r>
        <w:rPr>
          <w:rFonts w:ascii="Calibri" w:hAnsi="Calibri"/>
          <w:color w:val="525866"/>
          <w:sz w:val="22"/>
        </w:rPr>
        <w:t xml:space="preserve">No direct ride-hailing or delivery peers (Lyft, DoorDash) have reported Q2 2026 results before Uber. </w:t>
      </w:r>
    </w:p>
    <w:p>
      <w:r>
        <w:rPr>
          <w:rFonts w:ascii="Calibri" w:hAnsi="Calibri"/>
          <w:color w:val="525866"/>
          <w:sz w:val="22"/>
        </w:rPr>
        <w:t>Booking Holdings (BKNG) reported Q2 2026 results on August 4 and provides the most relevant available read-through on consumer travel demand, though it is a hotel/travel OTA, not a ride-hailing company — the signal is directional on consumer willingness to spend on mobility-adjacent services, not a direct proxy for Uber's core business.</w:t>
      </w:r>
    </w:p>
    <w:p>
      <w:pPr>
        <w:pStyle w:val="Heading2"/>
      </w:pPr>
      <w:r>
        <w:rPr>
          <w:rFonts w:ascii="Calibri" w:hAnsi="Calibri"/>
          <w:b/>
          <w:color w:val="3B4259"/>
          <w:sz w:val="28"/>
        </w:rPr>
        <w:t>Peer Commentary Scope &amp; Methodology</w:t>
      </w:r>
    </w:p>
    <w:p>
      <w:r>
        <w:rPr>
          <w:rFonts w:ascii="Calibri" w:hAnsi="Calibri"/>
          <w:b/>
          <w:color w:val="525866"/>
          <w:sz w:val="22"/>
        </w:rPr>
        <w:t xml:space="preserve">Inclusion criteria: </w:t>
      </w:r>
      <w:r>
        <w:rPr>
          <w:rFonts w:ascii="Calibri" w:hAnsi="Calibri"/>
          <w:color w:val="525866"/>
          <w:sz w:val="22"/>
        </w:rPr>
        <w:t>Only commentary published June 5 – August 4, 2026 that addresses Q2 2026 (April–June) conditions or the current operating environment. Excluded: any backward-looking commentary about prior-quarter results (e.g., Q1 2026 results discussed on Q1 earnings calls). Flagged where commentary is from an adjacent sector rather than a direct ride-hailing peer.</w:t>
      </w:r>
    </w:p>
    <w:p>
      <w:pPr>
        <w:pStyle w:val="Heading2"/>
      </w:pPr>
      <w:r>
        <w:rPr>
          <w:rFonts w:ascii="Calibri" w:hAnsi="Calibri"/>
          <w:b/>
          <w:color w:val="3B4259"/>
          <w:sz w:val="28"/>
        </w:rPr>
        <w:t>Booking Holdings (BKNG) — Q2 2026 Earnings (Reported August 4, 2026)</w:t>
      </w:r>
    </w:p>
    <w:p>
      <w:r>
        <w:rPr>
          <w:rFonts w:ascii="Calibri" w:hAnsi="Calibri"/>
          <w:b/>
          <w:color w:val="525866"/>
          <w:sz w:val="22"/>
        </w:rPr>
        <w:t xml:space="preserve">Sector: Online Travel / Accommodation. </w:t>
      </w:r>
      <w:r>
        <w:rPr>
          <w:rFonts w:ascii="Calibri" w:hAnsi="Calibri"/>
          <w:i/>
          <w:color w:val="525866"/>
          <w:sz w:val="22"/>
        </w:rPr>
        <w:t xml:space="preserve">Read-through relevance: </w:t>
      </w:r>
      <w:r>
        <w:rPr>
          <w:rFonts w:ascii="Calibri" w:hAnsi="Calibri"/>
          <w:i/>
          <w:color w:val="525866"/>
          <w:sz w:val="22"/>
        </w:rPr>
        <w:t>BKNG is not a ride-hailing peer. Its results speak to consumer willingness to spend on travel and mobility-adjacent services, and to the health of the broader travel ecosystem that Uber's Mobility and hotel-booking (Expedia partnership) businesses serve. Treat as a directional signal on consumer demand, not a direct proxy.</w:t>
      </w:r>
    </w:p>
    <w:p>
      <w:pPr>
        <w:pStyle w:val="ListBullet"/>
        <w:ind w:left="360" w:hanging="360"/>
      </w:pPr>
      <w:r>
        <w:rPr>
          <w:rFonts w:ascii="Calibri" w:hAnsi="Calibri"/>
          <w:b/>
          <w:color w:val="525866"/>
          <w:sz w:val="22"/>
        </w:rPr>
        <w:t>Consumer demand remained resilient in Q2 2026 despite macro uncertainty.</w:t>
      </w:r>
      <w:r>
        <w:rPr>
          <w:rFonts w:ascii="Calibri" w:hAnsi="Calibri"/>
          <w:color w:val="525866"/>
          <w:sz w:val="22"/>
        </w:rPr>
        <w:t xml:space="preserve"> Global room nights grew 5% YoY, exceeding the high end of guidance by ~1pp. Total gross bookings grew 9% YoY (8% constant currency), beating the high end of guidance by ~3pp. </w:t>
      </w:r>
    </w:p>
    <w:p>
      <w:pPr>
        <w:pStyle w:val="ListBullet"/>
        <w:ind w:left="360" w:hanging="360"/>
      </w:pPr>
      <w:r>
        <w:rPr>
          <w:rFonts w:ascii="Calibri" w:hAnsi="Calibri"/>
          <w:i/>
          <w:color w:val="525866"/>
          <w:sz w:val="22"/>
        </w:rPr>
        <w:t xml:space="preserve">Read-through for Uber: </w:t>
      </w:r>
      <w:r>
        <w:rPr>
          <w:rFonts w:ascii="Calibri" w:hAnsi="Calibri"/>
          <w:i/>
          <w:color w:val="525866"/>
          <w:sz w:val="22"/>
        </w:rPr>
        <w:t>Resilient consumer travel spending in Q2 is a positive directional signal for Uber Mobility demand. If consumers are willing to book hotels and travel despite macro uncertainty, they are likely also taking rides. However, BKNG's strength is concentrated in accommodation (not ground transport), so the read-through is indirect.</w:t>
      </w:r>
    </w:p>
    <w:p>
      <w:pPr>
        <w:pStyle w:val="ListBullet"/>
        <w:ind w:left="360" w:hanging="360"/>
      </w:pPr>
      <w:r>
        <w:rPr>
          <w:rFonts w:ascii="Calibri" w:hAnsi="Calibri"/>
          <w:b/>
          <w:color w:val="525866"/>
          <w:sz w:val="22"/>
        </w:rPr>
        <w:t>Middle East conflict created headwinds for long-haul international travel</w:t>
      </w:r>
      <w:r>
        <w:rPr>
          <w:rFonts w:ascii="Calibri" w:hAnsi="Calibri"/>
          <w:color w:val="525866"/>
          <w:sz w:val="22"/>
        </w:rPr>
        <w:t xml:space="preserve"> but domestic and intra-regional travel remained healthy. Long-haul international room nights were pressured by elevated airline prices and reduced capacity. Domestic room nights grew high single digits globally. </w:t>
      </w:r>
    </w:p>
    <w:p>
      <w:pPr>
        <w:pStyle w:val="ListBullet"/>
        <w:ind w:left="360" w:hanging="360"/>
      </w:pPr>
      <w:r>
        <w:rPr>
          <w:rFonts w:ascii="Calibri" w:hAnsi="Calibri"/>
          <w:i/>
          <w:color w:val="525866"/>
          <w:sz w:val="22"/>
        </w:rPr>
        <w:t xml:space="preserve">Read-through for Uber: </w:t>
      </w:r>
      <w:r>
        <w:rPr>
          <w:rFonts w:ascii="Calibri" w:hAnsi="Calibri"/>
          <w:i/>
          <w:color w:val="525866"/>
          <w:sz w:val="22"/>
        </w:rPr>
        <w:t>The Middle East conflict's impact on long-haul travel is a modest negative for Uber's international Mobility markets in the region, but Uber's Middle East business (which will be significantly expanded via the Delivery Hero/Talabat acquisition) showed +34% YoY gross bookings growth in 2025 CC terms, suggesting the region remains a strong growth driver despite geopolitical noise.</w:t>
      </w:r>
    </w:p>
    <w:p>
      <w:pPr>
        <w:pStyle w:val="ListBullet"/>
        <w:ind w:left="360" w:hanging="360"/>
      </w:pPr>
      <w:r>
        <w:rPr>
          <w:rFonts w:ascii="Calibri" w:hAnsi="Calibri"/>
          <w:b/>
          <w:color w:val="525866"/>
          <w:sz w:val="22"/>
        </w:rPr>
        <w:t>Booking window contracted modestly in Q2 but normalized in June.</w:t>
      </w:r>
      <w:r>
        <w:rPr>
          <w:rFonts w:ascii="Calibri" w:hAnsi="Calibri"/>
          <w:color w:val="525866"/>
          <w:sz w:val="22"/>
        </w:rPr>
        <w:t xml:space="preserve"> Both booking window and length of stay showed modest contraction globally during the quarter, but both metrics began to normalize in June. In Europe (BKNG's largest region), both metrics were approximately flat for the quarter. </w:t>
      </w:r>
    </w:p>
    <w:p>
      <w:pPr>
        <w:pStyle w:val="ListBullet"/>
        <w:ind w:left="360" w:hanging="360"/>
      </w:pPr>
      <w:r>
        <w:rPr>
          <w:rFonts w:ascii="Calibri" w:hAnsi="Calibri"/>
          <w:i/>
          <w:color w:val="525866"/>
          <w:sz w:val="22"/>
        </w:rPr>
        <w:t xml:space="preserve">Read-through for Uber: </w:t>
      </w:r>
      <w:r>
        <w:rPr>
          <w:rFonts w:ascii="Calibri" w:hAnsi="Calibri"/>
          <w:i/>
          <w:color w:val="525866"/>
          <w:sz w:val="22"/>
        </w:rPr>
        <w:t>The June normalization is a positive signal for Uber's Q2 exit rate and Q3 setup. A shorter booking window typically reflects consumer caution, but the June recovery suggests demand held up through the end of the quarter.</w:t>
      </w:r>
    </w:p>
    <w:p>
      <w:pPr>
        <w:pStyle w:val="ListBullet"/>
        <w:ind w:left="360" w:hanging="360"/>
      </w:pPr>
      <w:r>
        <w:rPr>
          <w:rFonts w:ascii="Calibri" w:hAnsi="Calibri"/>
          <w:b/>
          <w:color w:val="525866"/>
          <w:sz w:val="22"/>
        </w:rPr>
        <w:t>Constant currency ADR grew ~2% YoY</w:t>
      </w:r>
      <w:r>
        <w:rPr>
          <w:rFonts w:ascii="Calibri" w:hAnsi="Calibri"/>
          <w:color w:val="525866"/>
          <w:sz w:val="22"/>
        </w:rPr>
        <w:t xml:space="preserve">, indicating continued pricing strength. Connected trip transactions (multi-vertical bookings) grew low double digits and represented a low double-digit % of total transactions. </w:t>
      </w:r>
    </w:p>
    <w:p>
      <w:pPr>
        <w:pStyle w:val="ListBullet"/>
        <w:ind w:left="360" w:hanging="360"/>
      </w:pPr>
      <w:r>
        <w:rPr>
          <w:rFonts w:ascii="Calibri" w:hAnsi="Calibri"/>
          <w:i/>
          <w:color w:val="525866"/>
          <w:sz w:val="22"/>
        </w:rPr>
        <w:t xml:space="preserve">Read-through for Uber: </w:t>
      </w:r>
      <w:r>
        <w:rPr>
          <w:rFonts w:ascii="Calibri" w:hAnsi="Calibri"/>
          <w:i/>
          <w:color w:val="525866"/>
          <w:sz w:val="22"/>
        </w:rPr>
        <w:t>Pricing resilience in travel is consistent with Uber's own pricing environment (insurance savings being passed to consumers while maintaining gross bookings growth). The connected trip growth at BKNG mirrors Uber's own cross-platform engagement thesis.</w:t>
      </w:r>
    </w:p>
    <w:p>
      <w:pPr>
        <w:pStyle w:val="Heading2"/>
      </w:pPr>
      <w:r>
        <w:rPr>
          <w:rFonts w:ascii="Calibri" w:hAnsi="Calibri"/>
          <w:b/>
          <w:color w:val="3B4259"/>
          <w:sz w:val="28"/>
        </w:rPr>
        <w:t>Direct Ride-Hailing / Delivery Peers — Not Yet Reported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Q2 2026 Report Date</w:t>
            </w:r>
          </w:p>
        </w:tc>
        <w:tc>
          <w:tcPr>
            <w:tcW w:type="dxa" w:w="2160"/>
            <w:shd w:val="clear" w:color="auto" w:fill="3B4259"/>
          </w:tcPr>
          <w:p>
            <w:r>
              <w:rPr>
                <w:rFonts w:ascii="Calibri" w:hAnsi="Calibri"/>
                <w:b/>
                <w:color w:val="FFFFFF"/>
                <w:sz w:val="22"/>
              </w:rPr>
              <w:t>Status</w:t>
            </w:r>
          </w:p>
        </w:tc>
        <w:tc>
          <w:tcPr>
            <w:tcW w:type="dxa" w:w="2160"/>
            <w:shd w:val="clear" w:color="auto" w:fill="3B4259"/>
          </w:tcPr>
          <w:p>
            <w:r>
              <w:rPr>
                <w:rFonts w:ascii="Calibri" w:hAnsi="Calibri"/>
                <w:b/>
                <w:color w:val="FFFFFF"/>
                <w:sz w:val="22"/>
              </w:rPr>
              <w:t>Note</w:t>
            </w:r>
          </w:p>
        </w:tc>
      </w:tr>
      <w:tr>
        <w:tc>
          <w:tcPr>
            <w:tcW w:type="dxa" w:w="2160"/>
          </w:tcPr>
          <w:p>
            <w:r>
              <w:rPr>
                <w:rFonts w:ascii="Calibri" w:hAnsi="Calibri"/>
                <w:sz w:val="22"/>
              </w:rPr>
              <w:t>Lyft (LYFT)</w:t>
            </w:r>
          </w:p>
        </w:tc>
        <w:tc>
          <w:tcPr>
            <w:tcW w:type="dxa" w:w="2160"/>
          </w:tcPr>
          <w:p>
            <w:r>
              <w:rPr>
                <w:rFonts w:ascii="Calibri" w:hAnsi="Calibri"/>
                <w:sz w:val="22"/>
              </w:rPr>
              <w:t>After August 5, 2026</w:t>
            </w:r>
          </w:p>
        </w:tc>
        <w:tc>
          <w:tcPr>
            <w:tcW w:type="dxa" w:w="2160"/>
          </w:tcPr>
          <w:p>
            <w:r>
              <w:rPr>
                <w:rFonts w:ascii="Calibri" w:hAnsi="Calibri"/>
                <w:b/>
                <w:color w:val="002FA7"/>
                <w:sz w:val="22"/>
              </w:rPr>
              <w:t>Not yet reported</w:t>
            </w:r>
          </w:p>
        </w:tc>
        <w:tc>
          <w:tcPr>
            <w:tcW w:type="dxa" w:w="2160"/>
          </w:tcPr>
          <w:p>
            <w:r>
              <w:rPr>
                <w:rFonts w:ascii="Calibri" w:hAnsi="Calibri"/>
                <w:sz w:val="22"/>
              </w:rPr>
              <w:t>No Q2 2026 commentary available pre-Uber print. Lyft appointed Alaska Air CEO Ben Minicucci to its board (July 27) — no Q2 demand commentary.</w:t>
            </w:r>
          </w:p>
        </w:tc>
      </w:tr>
      <w:tr>
        <w:tc>
          <w:tcPr>
            <w:tcW w:type="dxa" w:w="2160"/>
          </w:tcPr>
          <w:p>
            <w:r>
              <w:rPr>
                <w:rFonts w:ascii="Calibri" w:hAnsi="Calibri"/>
                <w:sz w:val="22"/>
              </w:rPr>
              <w:t>DoorDash (DASH)</w:t>
            </w:r>
          </w:p>
        </w:tc>
        <w:tc>
          <w:tcPr>
            <w:tcW w:type="dxa" w:w="2160"/>
          </w:tcPr>
          <w:p>
            <w:r>
              <w:rPr>
                <w:rFonts w:ascii="Calibri" w:hAnsi="Calibri"/>
                <w:sz w:val="22"/>
              </w:rPr>
              <w:t>August 5, 2026</w:t>
            </w:r>
          </w:p>
        </w:tc>
        <w:tc>
          <w:tcPr>
            <w:tcW w:type="dxa" w:w="2160"/>
          </w:tcPr>
          <w:p>
            <w:r>
              <w:rPr>
                <w:rFonts w:ascii="Calibri" w:hAnsi="Calibri"/>
                <w:b/>
                <w:color w:val="002FA7"/>
                <w:sz w:val="22"/>
              </w:rPr>
              <w:t>Not yet reported</w:t>
            </w:r>
          </w:p>
        </w:tc>
        <w:tc>
          <w:tcPr>
            <w:tcW w:type="dxa" w:w="2160"/>
          </w:tcPr>
          <w:p>
            <w:r>
              <w:rPr>
                <w:rFonts w:ascii="Calibri" w:hAnsi="Calibri"/>
                <w:sz w:val="22"/>
              </w:rPr>
              <w:t>Reports same day as Uber. No Q2 2026 commentary available pre-Uber print.</w:t>
            </w:r>
          </w:p>
        </w:tc>
      </w:tr>
      <w:tr>
        <w:tc>
          <w:tcPr>
            <w:tcW w:type="dxa" w:w="2160"/>
          </w:tcPr>
          <w:p>
            <w:r>
              <w:rPr>
                <w:rFonts w:ascii="Calibri" w:hAnsi="Calibri"/>
                <w:sz w:val="22"/>
              </w:rPr>
              <w:t>DiDi Global (DIDIY)</w:t>
            </w:r>
          </w:p>
        </w:tc>
        <w:tc>
          <w:tcPr>
            <w:tcW w:type="dxa" w:w="2160"/>
          </w:tcPr>
          <w:p>
            <w:r>
              <w:rPr>
                <w:rFonts w:ascii="Calibri" w:hAnsi="Calibri"/>
                <w:sz w:val="22"/>
              </w:rPr>
              <w:t>N/A</w:t>
            </w:r>
          </w:p>
        </w:tc>
        <w:tc>
          <w:tcPr>
            <w:tcW w:type="dxa" w:w="2160"/>
          </w:tcPr>
          <w:p>
            <w:r>
              <w:rPr>
                <w:rFonts w:ascii="Calibri" w:hAnsi="Calibri"/>
                <w:sz w:val="22"/>
              </w:rPr>
              <w:t>No documents available</w:t>
            </w:r>
          </w:p>
        </w:tc>
        <w:tc>
          <w:tcPr>
            <w:tcW w:type="dxa" w:w="2160"/>
          </w:tcPr>
          <w:p>
            <w:r>
              <w:rPr>
                <w:rFonts w:ascii="Calibri" w:hAnsi="Calibri"/>
                <w:sz w:val="22"/>
              </w:rPr>
              <w:t>No relevant Q2 2026 commentary found in available sources.</w:t>
            </w:r>
          </w:p>
        </w:tc>
      </w:tr>
    </w:tbl>
    <w:p>
      <w:r>
        <w:rPr>
          <w:rFonts w:ascii="Calibri" w:hAnsi="Calibri"/>
          <w:b/>
          <w:color w:val="525866"/>
          <w:sz w:val="22"/>
        </w:rPr>
        <w:t xml:space="preserve">Bottom line: </w:t>
      </w:r>
      <w:r>
        <w:rPr>
          <w:rFonts w:ascii="Calibri" w:hAnsi="Calibri"/>
          <w:i/>
          <w:color w:val="525866"/>
          <w:sz w:val="22"/>
        </w:rPr>
        <w:t>The peer read-through picture is thin ahead of this print. BKNG's Q2 results provide a constructive directional signal on consumer travel demand, but the absence of direct ride-hailing peer data means the Q2 Uber print will itself be the primary data point for the sector. Investors should not extrapolate BKNG's accommodation strength directly to Uber's ride-hailing volumes.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discretionary buys or sells by named executives since the Q1 print. All insider activity consists of routine RSU vesting and associated tax-withholding sales (Form 4 code F/M) — obligation-driven, not discretionary. The one notable item is </w:t>
      </w:r>
    </w:p>
    <w:p>
      <w:r>
        <w:rPr>
          <w:rFonts w:ascii="Calibri" w:hAnsi="Calibri"/>
          <w:b/>
          <w:color w:val="525866"/>
          <w:sz w:val="22"/>
        </w:rPr>
        <w:t>Neutron Holdings (Travis Kalanick's entity) purchasing 800,000 UBER shares on July 2 under a 10b5-1 plan</w:t>
      </w:r>
      <w:r>
        <w:rPr>
          <w:rFonts w:ascii="Calibri" w:hAnsi="Calibri"/>
          <w:color w:val="525866"/>
          <w:sz w:val="22"/>
        </w:rPr>
        <w:t xml:space="preserve"> — a pre-planned buy by the founder's vehicle, which is a mild positive signal but not a strong directional indicator given the pre-planned nature. Aurora Innovation sold 67.5M UBER Class A shares in early June (a large block sale by a 10% owner, not a named executive).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 / Entity</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Neutron Holdings, Inc.</w:t>
            </w:r>
          </w:p>
        </w:tc>
        <w:tc>
          <w:tcPr>
            <w:tcW w:type="dxa" w:w="1440"/>
          </w:tcPr>
          <w:p>
            <w:r>
              <w:rPr>
                <w:rFonts w:ascii="Calibri" w:hAnsi="Calibri"/>
                <w:sz w:val="22"/>
              </w:rPr>
              <w:t>10% Owner (Travis Kalanick entity)</w:t>
            </w:r>
          </w:p>
        </w:tc>
        <w:tc>
          <w:tcPr>
            <w:tcW w:type="dxa" w:w="1440"/>
          </w:tcPr>
          <w:p>
            <w:r>
              <w:rPr>
                <w:rFonts w:ascii="Calibri" w:hAnsi="Calibri"/>
                <w:b/>
                <w:color w:val="30A46C"/>
                <w:sz w:val="22"/>
              </w:rPr>
              <w:t>Open Market Buy (10b5-1 Plan)</w:t>
            </w:r>
          </w:p>
        </w:tc>
        <w:tc>
          <w:tcPr>
            <w:tcW w:type="dxa" w:w="1440"/>
          </w:tcPr>
          <w:p>
            <w:r>
              <w:rPr>
                <w:rFonts w:ascii="Calibri" w:hAnsi="Calibri"/>
                <w:sz w:val="22"/>
              </w:rPr>
              <w:t>800,000</w:t>
            </w:r>
          </w:p>
        </w:tc>
        <w:tc>
          <w:tcPr>
            <w:tcW w:type="dxa" w:w="1440"/>
          </w:tcPr>
          <w:p>
            <w:r>
              <w:rPr>
                <w:rFonts w:ascii="Calibri" w:hAnsi="Calibri"/>
                <w:sz w:val="22"/>
              </w:rPr>
              <w:t>July 2, 2026</w:t>
            </w:r>
          </w:p>
        </w:tc>
        <w:tc>
          <w:tcPr>
            <w:tcW w:type="dxa" w:w="1440"/>
          </w:tcPr>
          <w:p>
            <w:r>
              <w:rPr>
                <w:rFonts w:ascii="Calibri" w:hAnsi="Calibri"/>
                <w:sz w:val="22"/>
              </w:rPr>
              <w:t>Pre-planned 10b5-1 purchase; mild positive signal but obligation-driven by plan terms.</w:t>
            </w:r>
          </w:p>
        </w:tc>
      </w:tr>
      <w:tr>
        <w:tc>
          <w:tcPr>
            <w:tcW w:type="dxa" w:w="1440"/>
          </w:tcPr>
          <w:p>
            <w:r>
              <w:rPr>
                <w:rFonts w:ascii="Calibri" w:hAnsi="Calibri"/>
                <w:sz w:val="22"/>
              </w:rPr>
              <w:t>Aurora Innovation, Inc.</w:t>
            </w:r>
          </w:p>
        </w:tc>
        <w:tc>
          <w:tcPr>
            <w:tcW w:type="dxa" w:w="1440"/>
          </w:tcPr>
          <w:p>
            <w:r>
              <w:rPr>
                <w:rFonts w:ascii="Calibri" w:hAnsi="Calibri"/>
                <w:sz w:val="22"/>
              </w:rPr>
              <w:t>10% Owner (AV partner)</w:t>
            </w:r>
          </w:p>
        </w:tc>
        <w:tc>
          <w:tcPr>
            <w:tcW w:type="dxa" w:w="1440"/>
          </w:tcPr>
          <w:p>
            <w:r>
              <w:rPr>
                <w:rFonts w:ascii="Calibri" w:hAnsi="Calibri"/>
                <w:b/>
                <w:color w:val="E5484D"/>
                <w:sz w:val="22"/>
              </w:rPr>
              <w:t>Open Market Sale</w:t>
            </w:r>
          </w:p>
        </w:tc>
        <w:tc>
          <w:tcPr>
            <w:tcW w:type="dxa" w:w="1440"/>
          </w:tcPr>
          <w:p>
            <w:r>
              <w:rPr>
                <w:rFonts w:ascii="Calibri" w:hAnsi="Calibri"/>
                <w:sz w:val="22"/>
              </w:rPr>
              <w:t>67,500,000</w:t>
            </w:r>
          </w:p>
        </w:tc>
        <w:tc>
          <w:tcPr>
            <w:tcW w:type="dxa" w:w="1440"/>
          </w:tcPr>
          <w:p>
            <w:r>
              <w:rPr>
                <w:rFonts w:ascii="Calibri" w:hAnsi="Calibri"/>
                <w:sz w:val="22"/>
              </w:rPr>
              <w:t>June 2, 2026</w:t>
            </w:r>
          </w:p>
        </w:tc>
        <w:tc>
          <w:tcPr>
            <w:tcW w:type="dxa" w:w="1440"/>
          </w:tcPr>
          <w:p>
            <w:r>
              <w:rPr>
                <w:rFonts w:ascii="Calibri" w:hAnsi="Calibri"/>
                <w:sz w:val="22"/>
              </w:rPr>
              <w:t>Large block sale by Aurora (10% owner of UBER); not a named executive. Not under 10b5-1 plan. Aurora monetizing its UBER stake.</w:t>
            </w:r>
          </w:p>
        </w:tc>
      </w:tr>
      <w:tr>
        <w:tc>
          <w:tcPr>
            <w:tcW w:type="dxa" w:w="1440"/>
          </w:tcPr>
          <w:p>
            <w:r>
              <w:rPr>
                <w:rFonts w:ascii="Calibri" w:hAnsi="Calibri"/>
                <w:sz w:val="22"/>
              </w:rPr>
              <w:t>Hazelbaker Jill</w:t>
            </w:r>
          </w:p>
        </w:tc>
        <w:tc>
          <w:tcPr>
            <w:tcW w:type="dxa" w:w="1440"/>
          </w:tcPr>
          <w:p>
            <w:r>
              <w:rPr>
                <w:rFonts w:ascii="Calibri" w:hAnsi="Calibri"/>
                <w:sz w:val="22"/>
              </w:rPr>
              <w:t>President (elevated May 11, 2026)</w:t>
            </w:r>
          </w:p>
        </w:tc>
        <w:tc>
          <w:tcPr>
            <w:tcW w:type="dxa" w:w="1440"/>
          </w:tcPr>
          <w:p>
            <w:r>
              <w:rPr>
                <w:rFonts w:ascii="Calibri" w:hAnsi="Calibri"/>
                <w:sz w:val="22"/>
              </w:rPr>
              <w:t>RSU Vesting / Tax Withholding Sale</w:t>
            </w:r>
          </w:p>
        </w:tc>
        <w:tc>
          <w:tcPr>
            <w:tcW w:type="dxa" w:w="1440"/>
          </w:tcPr>
          <w:p>
            <w:r>
              <w:rPr>
                <w:rFonts w:ascii="Calibri" w:hAnsi="Calibri"/>
                <w:sz w:val="22"/>
              </w:rPr>
              <w:t>4,628 (withheld); 9,160 (vested)</w:t>
            </w:r>
          </w:p>
        </w:tc>
        <w:tc>
          <w:tcPr>
            <w:tcW w:type="dxa" w:w="1440"/>
          </w:tcPr>
          <w:p>
            <w:r>
              <w:rPr>
                <w:rFonts w:ascii="Calibri" w:hAnsi="Calibri"/>
                <w:sz w:val="22"/>
              </w:rPr>
              <w:t>July 16, 2026</w:t>
            </w:r>
          </w:p>
        </w:tc>
        <w:tc>
          <w:tcPr>
            <w:tcW w:type="dxa" w:w="1440"/>
          </w:tcPr>
          <w:p>
            <w:r>
              <w:rPr>
                <w:rFonts w:ascii="Calibri" w:hAnsi="Calibri"/>
                <w:sz w:val="22"/>
              </w:rPr>
              <w:t>Routine RSU vest; tax withholding sale (code F). Not discretionary. Also received 38,273 stock options + 16,855 RSUs on May 11 (new role grant).</w:t>
            </w:r>
          </w:p>
        </w:tc>
      </w:tr>
      <w:tr>
        <w:tc>
          <w:tcPr>
            <w:tcW w:type="dxa" w:w="1440"/>
          </w:tcPr>
          <w:p>
            <w:r>
              <w:rPr>
                <w:rFonts w:ascii="Calibri" w:hAnsi="Calibri"/>
                <w:sz w:val="22"/>
              </w:rPr>
              <w:t>Krishnamurthy Balaji</w:t>
            </w:r>
          </w:p>
        </w:tc>
        <w:tc>
          <w:tcPr>
            <w:tcW w:type="dxa" w:w="1440"/>
          </w:tcPr>
          <w:p>
            <w:r>
              <w:rPr>
                <w:rFonts w:ascii="Calibri" w:hAnsi="Calibri"/>
                <w:sz w:val="22"/>
              </w:rPr>
              <w:t>CFO</w:t>
            </w:r>
          </w:p>
        </w:tc>
        <w:tc>
          <w:tcPr>
            <w:tcW w:type="dxa" w:w="1440"/>
          </w:tcPr>
          <w:p>
            <w:r>
              <w:rPr>
                <w:rFonts w:ascii="Calibri" w:hAnsi="Calibri"/>
                <w:sz w:val="22"/>
              </w:rPr>
              <w:t>RSU Vesting / Tax Withholding Sale</w:t>
            </w:r>
          </w:p>
        </w:tc>
        <w:tc>
          <w:tcPr>
            <w:tcW w:type="dxa" w:w="1440"/>
          </w:tcPr>
          <w:p>
            <w:r>
              <w:rPr>
                <w:rFonts w:ascii="Calibri" w:hAnsi="Calibri"/>
                <w:sz w:val="22"/>
              </w:rPr>
              <w:t>2,249 (withheld); 4,392 (vested)</w:t>
            </w:r>
          </w:p>
        </w:tc>
        <w:tc>
          <w:tcPr>
            <w:tcW w:type="dxa" w:w="1440"/>
          </w:tcPr>
          <w:p>
            <w:r>
              <w:rPr>
                <w:rFonts w:ascii="Calibri" w:hAnsi="Calibri"/>
                <w:sz w:val="22"/>
              </w:rPr>
              <w:t>July 16, 2026</w:t>
            </w:r>
          </w:p>
        </w:tc>
        <w:tc>
          <w:tcPr>
            <w:tcW w:type="dxa" w:w="1440"/>
          </w:tcPr>
          <w:p>
            <w:r>
              <w:rPr>
                <w:rFonts w:ascii="Calibri" w:hAnsi="Calibri"/>
                <w:sz w:val="22"/>
              </w:rPr>
              <w:t>Routine RSU vest; tax withholding sale (code F). Not discretionary. Recurring pattern (also vested May 16, June 16).</w:t>
            </w:r>
          </w:p>
        </w:tc>
      </w:tr>
      <w:tr>
        <w:tc>
          <w:tcPr>
            <w:tcW w:type="dxa" w:w="1440"/>
          </w:tcPr>
          <w:p>
            <w:r>
              <w:rPr>
                <w:rFonts w:ascii="Calibri" w:hAnsi="Calibri"/>
                <w:sz w:val="22"/>
              </w:rPr>
              <w:t>Macdonald Andrew</w:t>
            </w:r>
          </w:p>
        </w:tc>
        <w:tc>
          <w:tcPr>
            <w:tcW w:type="dxa" w:w="1440"/>
          </w:tcPr>
          <w:p>
            <w:r>
              <w:rPr>
                <w:rFonts w:ascii="Calibri" w:hAnsi="Calibri"/>
                <w:sz w:val="22"/>
              </w:rPr>
              <w:t>COO</w:t>
            </w:r>
          </w:p>
        </w:tc>
        <w:tc>
          <w:tcPr>
            <w:tcW w:type="dxa" w:w="1440"/>
          </w:tcPr>
          <w:p>
            <w:r>
              <w:rPr>
                <w:rFonts w:ascii="Calibri" w:hAnsi="Calibri"/>
                <w:sz w:val="22"/>
              </w:rPr>
              <w:t>RSU Vesting / Tax Withholding Sale</w:t>
            </w:r>
          </w:p>
        </w:tc>
        <w:tc>
          <w:tcPr>
            <w:tcW w:type="dxa" w:w="1440"/>
          </w:tcPr>
          <w:p>
            <w:r>
              <w:rPr>
                <w:rFonts w:ascii="Calibri" w:hAnsi="Calibri"/>
                <w:sz w:val="22"/>
              </w:rPr>
              <w:t>5,683 (withheld); 10,167 (vested)</w:t>
            </w:r>
          </w:p>
        </w:tc>
        <w:tc>
          <w:tcPr>
            <w:tcW w:type="dxa" w:w="1440"/>
          </w:tcPr>
          <w:p>
            <w:r>
              <w:rPr>
                <w:rFonts w:ascii="Calibri" w:hAnsi="Calibri"/>
                <w:sz w:val="22"/>
              </w:rPr>
              <w:t>July 16, 2026</w:t>
            </w:r>
          </w:p>
        </w:tc>
        <w:tc>
          <w:tcPr>
            <w:tcW w:type="dxa" w:w="1440"/>
          </w:tcPr>
          <w:p>
            <w:r>
              <w:rPr>
                <w:rFonts w:ascii="Calibri" w:hAnsi="Calibri"/>
                <w:sz w:val="22"/>
              </w:rPr>
              <w:t>Routine RSU vest; tax withholding sale (code F). Not discretionary. Recurring pattern.</w:t>
            </w:r>
          </w:p>
        </w:tc>
      </w:tr>
      <w:tr>
        <w:tc>
          <w:tcPr>
            <w:tcW w:type="dxa" w:w="1440"/>
          </w:tcPr>
          <w:p>
            <w:r>
              <w:rPr>
                <w:rFonts w:ascii="Calibri" w:hAnsi="Calibri"/>
                <w:sz w:val="22"/>
              </w:rPr>
              <w:t>West Tony</w:t>
            </w:r>
          </w:p>
        </w:tc>
        <w:tc>
          <w:tcPr>
            <w:tcW w:type="dxa" w:w="1440"/>
          </w:tcPr>
          <w:p>
            <w:r>
              <w:rPr>
                <w:rFonts w:ascii="Calibri" w:hAnsi="Calibri"/>
                <w:sz w:val="22"/>
              </w:rPr>
              <w:t>Chief Legal Officer</w:t>
            </w:r>
          </w:p>
        </w:tc>
        <w:tc>
          <w:tcPr>
            <w:tcW w:type="dxa" w:w="1440"/>
          </w:tcPr>
          <w:p>
            <w:r>
              <w:rPr>
                <w:rFonts w:ascii="Calibri" w:hAnsi="Calibri"/>
                <w:sz w:val="22"/>
              </w:rPr>
              <w:t>RSU Vesting / Tax Withholding Sale</w:t>
            </w:r>
          </w:p>
        </w:tc>
        <w:tc>
          <w:tcPr>
            <w:tcW w:type="dxa" w:w="1440"/>
          </w:tcPr>
          <w:p>
            <w:r>
              <w:rPr>
                <w:rFonts w:ascii="Calibri" w:hAnsi="Calibri"/>
                <w:sz w:val="22"/>
              </w:rPr>
              <w:t>3,570 (withheld); 7,196 (vested)</w:t>
            </w:r>
          </w:p>
        </w:tc>
        <w:tc>
          <w:tcPr>
            <w:tcW w:type="dxa" w:w="1440"/>
          </w:tcPr>
          <w:p>
            <w:r>
              <w:rPr>
                <w:rFonts w:ascii="Calibri" w:hAnsi="Calibri"/>
                <w:sz w:val="22"/>
              </w:rPr>
              <w:t>July 16, 2026</w:t>
            </w:r>
          </w:p>
        </w:tc>
        <w:tc>
          <w:tcPr>
            <w:tcW w:type="dxa" w:w="1440"/>
          </w:tcPr>
          <w:p>
            <w:r>
              <w:rPr>
                <w:rFonts w:ascii="Calibri" w:hAnsi="Calibri"/>
                <w:sz w:val="22"/>
              </w:rPr>
              <w:t>Routine RSU vest; tax withholding sale (code F). Not discretionary. Recurring pattern.</w:t>
            </w:r>
          </w:p>
        </w:tc>
      </w:tr>
      <w:tr>
        <w:tc>
          <w:tcPr>
            <w:tcW w:type="dxa" w:w="1440"/>
          </w:tcPr>
          <w:p>
            <w:r>
              <w:rPr>
                <w:rFonts w:ascii="Calibri" w:hAnsi="Calibri"/>
                <w:sz w:val="22"/>
              </w:rPr>
              <w:t>Arora Nikesh / Burns Ursula / Thain John A</w:t>
            </w:r>
          </w:p>
        </w:tc>
        <w:tc>
          <w:tcPr>
            <w:tcW w:type="dxa" w:w="1440"/>
          </w:tcPr>
          <w:p>
            <w:r>
              <w:rPr>
                <w:rFonts w:ascii="Calibri" w:hAnsi="Calibri"/>
                <w:sz w:val="22"/>
              </w:rPr>
              <w:t>Directors</w:t>
            </w:r>
          </w:p>
        </w:tc>
        <w:tc>
          <w:tcPr>
            <w:tcW w:type="dxa" w:w="1440"/>
          </w:tcPr>
          <w:p>
            <w:r>
              <w:rPr>
                <w:rFonts w:ascii="Calibri" w:hAnsi="Calibri"/>
                <w:sz w:val="22"/>
              </w:rPr>
              <w:t>RSU Grant (Director Compensation)</w:t>
            </w:r>
          </w:p>
        </w:tc>
        <w:tc>
          <w:tcPr>
            <w:tcW w:type="dxa" w:w="1440"/>
          </w:tcPr>
          <w:p>
            <w:r>
              <w:rPr>
                <w:rFonts w:ascii="Calibri" w:hAnsi="Calibri"/>
                <w:sz w:val="22"/>
              </w:rPr>
              <w:t>314 / 331 / 349 RSUs each</w:t>
            </w:r>
          </w:p>
        </w:tc>
        <w:tc>
          <w:tcPr>
            <w:tcW w:type="dxa" w:w="1440"/>
          </w:tcPr>
          <w:p>
            <w:r>
              <w:rPr>
                <w:rFonts w:ascii="Calibri" w:hAnsi="Calibri"/>
                <w:sz w:val="22"/>
              </w:rPr>
              <w:t>July 10, 2026</w:t>
            </w:r>
          </w:p>
        </w:tc>
        <w:tc>
          <w:tcPr>
            <w:tcW w:type="dxa" w:w="1440"/>
          </w:tcPr>
          <w:p>
            <w:r>
              <w:rPr>
                <w:rFonts w:ascii="Calibri" w:hAnsi="Calibri"/>
                <w:sz w:val="22"/>
              </w:rPr>
              <w:t>Routine annual director RSU grants (code A). Not a market transaction.</w:t>
            </w:r>
          </w:p>
        </w:tc>
      </w:tr>
    </w:tbl>
    <w:p>
      <w:r>
        <w:rPr>
          <w:rFonts w:ascii="Calibri" w:hAnsi="Calibri"/>
          <w:i/>
          <w:color w:val="525866"/>
          <w:sz w:val="22"/>
        </w:rPr>
        <w:t xml:space="preserve">Source: SEC Form 4 Filings (Insider Transaction Data). </w:t>
      </w:r>
      <w:r>
        <w:rPr>
          <w:rFonts w:ascii="Calibri" w:hAnsi="Calibri"/>
          <w:b/>
          <w:color w:val="525866"/>
          <w:sz w:val="22"/>
        </w:rPr>
        <w:t xml:space="preserve">Overall assessment: </w:t>
      </w:r>
      <w:r>
        <w:rPr>
          <w:rFonts w:ascii="Calibri" w:hAnsi="Calibri"/>
          <w:i/>
          <w:color w:val="525866"/>
          <w:sz w:val="22"/>
        </w:rPr>
        <w:t>No discretionary open-market buys or sells by named executives. The Neutron Holdings 10b5-1 purchase is the only open-market buy, and it is pre-planned. Aurora's 67.5M share sale is notable in size but reflects Aurora monetizing its UBER stake, not an insider view on Uber's fundamentals. No red flags.</w:t>
      </w:r>
    </w:p>
    <w:p>
      <w:r>
        <w:br w:type="page"/>
      </w:r>
    </w:p>
    <w:p>
      <w:pPr>
        <w:pStyle w:val="Heading1"/>
        <w:pBdr>
          <w:bottom w:val="single" w:sz="4" w:space="1" w:color="FB9120"/>
        </w:pBdr>
      </w:pPr>
      <w:r>
        <w:rPr>
          <w:rFonts w:ascii="Calibri" w:hAnsi="Calibri"/>
          <w:b/>
          <w:color w:val="3B4259"/>
          <w:sz w:val="40"/>
        </w:rPr>
        <w:t>9. Risks &amp; Key Questions for the Call</w:t>
      </w:r>
    </w:p>
    <w:p>
      <w:r>
        <w:rPr>
          <w:rFonts w:ascii="Calibri" w:hAnsi="Calibri"/>
          <w:b/>
          <w:color w:val="525866"/>
          <w:sz w:val="22"/>
        </w:rPr>
        <w:t xml:space="preserve">Key Takeaway: </w:t>
      </w:r>
      <w:r>
        <w:rPr>
          <w:rFonts w:ascii="Calibri" w:hAnsi="Calibri"/>
          <w:color w:val="525866"/>
          <w:sz w:val="22"/>
        </w:rPr>
        <w:t xml:space="preserve">The Q2 operating print is likely clean, but the call will be dominated by three structural questions: </w:t>
      </w:r>
    </w:p>
    <w:p>
      <w:r>
        <w:rPr>
          <w:rFonts w:ascii="Calibri" w:hAnsi="Calibri"/>
          <w:b/>
          <w:color w:val="525866"/>
          <w:sz w:val="22"/>
        </w:rPr>
        <w:t xml:space="preserve">Key Takeaway: </w:t>
      </w:r>
      <w:r>
        <w:rPr>
          <w:rFonts w:ascii="Calibri" w:hAnsi="Calibri"/>
          <w:color w:val="525866"/>
          <w:sz w:val="22"/>
        </w:rPr>
        <w:t>The Q2 operating print is likely clean, but the call will be dominated by three structural questions: the Delivery Hero deal's capital allocation implications, the Waymo relationship deterioration, and the pace of U.S. Mobility acceleration. Management's answers to these will matter more than the backward-looking Q2 numbers.</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Delivery Hero deal execution risk.</w:t>
      </w:r>
      <w:r>
        <w:rPr>
          <w:rFonts w:ascii="Calibri" w:hAnsi="Calibri"/>
          <w:color w:val="525866"/>
          <w:sz w:val="22"/>
        </w:rPr>
        <w:t xml:space="preserve"> The €14.2B acquisition requires regulatory approval in multiple jurisdictions (expected H2 2027 close). Regulatory conditions could impose remedies, delay the timeline, or block the deal entirely. The €700M reverse termination fee provides some protection but does not eliminate the risk of a prolonged overhang.</w:t>
      </w:r>
    </w:p>
    <w:p>
      <w:pPr>
        <w:pStyle w:val="ListBullet"/>
        <w:ind w:left="360" w:hanging="360"/>
      </w:pPr>
      <w:r>
        <w:rPr>
          <w:rFonts w:ascii="Calibri" w:hAnsi="Calibri"/>
          <w:b/>
          <w:color w:val="525866"/>
          <w:sz w:val="22"/>
        </w:rPr>
        <w:t>Capital allocation / leverage risk.</w:t>
      </w:r>
      <w:r>
        <w:rPr>
          <w:rFonts w:ascii="Calibri" w:hAnsi="Calibri"/>
          <w:color w:val="525866"/>
          <w:sz w:val="22"/>
        </w:rPr>
        <w:t xml:space="preserve"> The bridge facility commits Uber to &lt;2x gross leverage, but the deal materially reduces near-term buyback capacity. If FCF generation disappoints or the deal timeline extends, the leverage path could become a concern for investment-grade rating maintenance.</w:t>
      </w:r>
    </w:p>
    <w:p>
      <w:pPr>
        <w:pStyle w:val="ListBullet"/>
        <w:ind w:left="360" w:hanging="360"/>
      </w:pPr>
      <w:r>
        <w:rPr>
          <w:rFonts w:ascii="Calibri" w:hAnsi="Calibri"/>
          <w:b/>
          <w:color w:val="525866"/>
          <w:sz w:val="22"/>
        </w:rPr>
        <w:t>Waymo competitive escalation.</w:t>
      </w:r>
      <w:r>
        <w:rPr>
          <w:rFonts w:ascii="Calibri" w:hAnsi="Calibri"/>
          <w:color w:val="525866"/>
          <w:sz w:val="22"/>
        </w:rPr>
        <w:t xml:space="preserve"> If Waymo accelerates its direct-to-consumer app rollout beyond Austin and Atlanta, or if other AV players (Tesla FSD, Zoox) scale faster than expected, Uber's Mobility take rate and trip growth could face structural pressure in key markets.</w:t>
      </w:r>
    </w:p>
    <w:p>
      <w:pPr>
        <w:pStyle w:val="ListBullet"/>
        <w:ind w:left="360" w:hanging="360"/>
      </w:pPr>
      <w:r>
        <w:rPr>
          <w:rFonts w:ascii="Calibri" w:hAnsi="Calibri"/>
          <w:b/>
          <w:color w:val="525866"/>
          <w:sz w:val="22"/>
        </w:rPr>
        <w:t>U.S. Mobility deceleration.</w:t>
      </w:r>
      <w:r>
        <w:rPr>
          <w:rFonts w:ascii="Calibri" w:hAnsi="Calibri"/>
          <w:color w:val="525866"/>
          <w:sz w:val="22"/>
        </w:rPr>
        <w:t xml:space="preserve"> The Q2 guide assumes continued acceleration driven by insurance savings. If the elasticity from lower consumer pricing is weaker than expected, or if macro softness (consumer spending pullback) offsets the pricing tailwind, gross bookings could miss the low end of guidance.</w:t>
      </w:r>
    </w:p>
    <w:p>
      <w:pPr>
        <w:pStyle w:val="ListBullet"/>
        <w:ind w:left="360" w:hanging="360"/>
      </w:pPr>
      <w:r>
        <w:rPr>
          <w:rFonts w:ascii="Calibri" w:hAnsi="Calibri"/>
          <w:b/>
          <w:color w:val="525866"/>
          <w:sz w:val="22"/>
        </w:rPr>
        <w:t>Delivery competitive pressure.</w:t>
      </w:r>
      <w:r>
        <w:rPr>
          <w:rFonts w:ascii="Calibri" w:hAnsi="Calibri"/>
          <w:color w:val="525866"/>
          <w:sz w:val="22"/>
        </w:rPr>
        <w:t xml:space="preserve"> DoorDash reports on August 5 alongside Uber. If DoorDash shows accelerating market share gains in U.S. delivery, it could pressure Uber Eats' growth narrative even if Uber's absolute delivery numbers are solid.</w:t>
      </w:r>
    </w:p>
    <w:p>
      <w:pPr>
        <w:pStyle w:val="ListBullet"/>
        <w:ind w:left="360" w:hanging="360"/>
      </w:pPr>
      <w:r>
        <w:rPr>
          <w:rFonts w:ascii="Calibri" w:hAnsi="Calibri"/>
          <w:b/>
          <w:color w:val="525866"/>
          <w:sz w:val="22"/>
        </w:rPr>
        <w:t>FX headwinds.</w:t>
      </w:r>
      <w:r>
        <w:rPr>
          <w:rFonts w:ascii="Calibri" w:hAnsi="Calibri"/>
          <w:color w:val="525866"/>
          <w:sz w:val="22"/>
        </w:rPr>
        <w:t xml:space="preserve"> The Q2 guide assumes a ~2pp FX tailwind. If the dollar strengthened more than expected during Q2, reported gross bookings could come in below the constant-currency implied range.</w:t>
      </w:r>
    </w:p>
    <w:p>
      <w:pPr>
        <w:pStyle w:val="ListBullet"/>
        <w:ind w:left="360" w:hanging="360"/>
      </w:pPr>
      <w:r>
        <w:rPr>
          <w:rFonts w:ascii="Calibri" w:hAnsi="Calibri"/>
          <w:b/>
          <w:color w:val="525866"/>
          <w:sz w:val="22"/>
        </w:rPr>
        <w:t>AI / workforce restructuring risk.</w:t>
      </w:r>
      <w:r>
        <w:rPr>
          <w:rFonts w:ascii="Calibri" w:hAnsi="Calibri"/>
          <w:color w:val="525866"/>
          <w:sz w:val="22"/>
        </w:rPr>
        <w:t xml:space="preserve"> The 10% customer service headcount reduction (July 23) signals AI is now materially impacting operations. If AI-driven service quality deteriorates (driver/rider experience), it could affect retention and trip frequency.</w:t>
      </w:r>
    </w:p>
    <w:p>
      <w:pPr>
        <w:pStyle w:val="Heading2"/>
      </w:pPr>
      <w:r>
        <w:rPr>
          <w:rFonts w:ascii="Calibri" w:hAnsi="Calibri"/>
          <w:b/>
          <w:color w:val="3B4259"/>
          <w:sz w:val="28"/>
        </w:rPr>
        <w:t>Key Questions for the Call</w:t>
      </w:r>
    </w:p>
    <w:p>
      <w:pPr>
        <w:pStyle w:val="ListNumber"/>
        <w:ind w:left="360" w:hanging="360"/>
      </w:pPr>
      <w:r>
        <w:rPr>
          <w:rFonts w:ascii="Calibri" w:hAnsi="Calibri"/>
          <w:b/>
          <w:color w:val="525866"/>
          <w:sz w:val="22"/>
        </w:rPr>
        <w:t xml:space="preserve">Delivery Hero deal: </w:t>
      </w:r>
      <w:r>
        <w:rPr>
          <w:rFonts w:ascii="Calibri" w:hAnsi="Calibri"/>
          <w:color w:val="525866"/>
          <w:sz w:val="22"/>
        </w:rPr>
        <w:t>What is the updated buyback cadence for the remainder of 2026 and 2027 given the bridge financing commitment? How does management think about the leverage path to &lt;1x post-close? What are the specific regulatory jurisdictions of concern?</w:t>
      </w:r>
    </w:p>
    <w:p>
      <w:pPr>
        <w:pStyle w:val="ListNumber"/>
        <w:ind w:left="360" w:hanging="360"/>
      </w:pPr>
      <w:r>
        <w:rPr>
          <w:rFonts w:ascii="Calibri" w:hAnsi="Calibri"/>
          <w:b/>
          <w:color w:val="525866"/>
          <w:sz w:val="22"/>
        </w:rPr>
        <w:t xml:space="preserve">Waymo relationship: </w:t>
      </w:r>
      <w:r>
        <w:rPr>
          <w:rFonts w:ascii="Calibri" w:hAnsi="Calibri"/>
          <w:color w:val="525866"/>
          <w:sz w:val="22"/>
        </w:rPr>
        <w:t>Is the exclusivity breakup in Austin/Atlanta a negotiated outcome or a unilateral Waymo decision? What is the revenue contribution of Waymo trips today, and how does Uber plan to replace that supply with non-Waymo AV partners?</w:t>
      </w:r>
    </w:p>
    <w:p>
      <w:pPr>
        <w:pStyle w:val="ListNumber"/>
        <w:ind w:left="360" w:hanging="360"/>
      </w:pPr>
      <w:r>
        <w:rPr>
          <w:rFonts w:ascii="Calibri" w:hAnsi="Calibri"/>
          <w:b/>
          <w:color w:val="525866"/>
          <w:sz w:val="22"/>
        </w:rPr>
        <w:t xml:space="preserve">U.S. Mobility acceleration: </w:t>
      </w:r>
      <w:r>
        <w:rPr>
          <w:rFonts w:ascii="Calibri" w:hAnsi="Calibri"/>
          <w:color w:val="525866"/>
          <w:sz w:val="22"/>
        </w:rPr>
        <w:t>Did the insurance savings-driven pricing tailwind continue to accelerate trip growth in Q2? What is the exit rate of U.S. Mobility gross bookings growth, and does management still expect further acceleration in Q3?</w:t>
      </w:r>
    </w:p>
    <w:p>
      <w:pPr>
        <w:pStyle w:val="ListNumber"/>
        <w:ind w:left="360" w:hanging="360"/>
      </w:pPr>
      <w:r>
        <w:rPr>
          <w:rFonts w:ascii="Calibri" w:hAnsi="Calibri"/>
          <w:b/>
          <w:color w:val="525866"/>
          <w:sz w:val="22"/>
        </w:rPr>
        <w:t xml:space="preserve">Uber One: </w:t>
      </w:r>
      <w:r>
        <w:rPr>
          <w:rFonts w:ascii="Calibri" w:hAnsi="Calibri"/>
          <w:color w:val="525866"/>
          <w:sz w:val="22"/>
        </w:rPr>
        <w:t>How many Uber One members does Uber have as of Q2 end? Is the 50M+ figure still growing at 50% YoY? What is the Mobility penetration rate vs. the Delivery penetration rate?</w:t>
      </w:r>
    </w:p>
    <w:p>
      <w:pPr>
        <w:pStyle w:val="ListNumber"/>
        <w:ind w:left="360" w:hanging="360"/>
      </w:pPr>
      <w:r>
        <w:rPr>
          <w:rFonts w:ascii="Calibri" w:hAnsi="Calibri"/>
          <w:b/>
          <w:color w:val="525866"/>
          <w:sz w:val="22"/>
        </w:rPr>
        <w:t xml:space="preserve">AI productivity: </w:t>
      </w:r>
      <w:r>
        <w:rPr>
          <w:rFonts w:ascii="Calibri" w:hAnsi="Calibri"/>
          <w:color w:val="525866"/>
          <w:sz w:val="22"/>
        </w:rPr>
        <w:t>Can management quantify the cost savings from the 10% customer service headcount reduction? What is the expected run-rate savings from AI-driven productivity improvements in 2026?</w:t>
      </w:r>
    </w:p>
    <w:p>
      <w:pPr>
        <w:pStyle w:val="ListNumber"/>
        <w:ind w:left="360" w:hanging="360"/>
      </w:pPr>
      <w:r>
        <w:rPr>
          <w:rFonts w:ascii="Calibri" w:hAnsi="Calibri"/>
          <w:b/>
          <w:color w:val="525866"/>
          <w:sz w:val="22"/>
        </w:rPr>
        <w:t xml:space="preserve">Q3 2026 guidance: </w:t>
      </w:r>
      <w:r>
        <w:rPr>
          <w:rFonts w:ascii="Calibri" w:hAnsi="Calibri"/>
          <w:color w:val="525866"/>
          <w:sz w:val="22"/>
        </w:rPr>
        <w:t>What is the gross bookings and adjusted EBITDA guidance range for Q3? Does management expect the FX tailwind to persist? Is the pace of margin expansion expected to accelerate or remain stable?</w:t>
      </w:r>
    </w:p>
    <w:p>
      <w:pPr>
        <w:pStyle w:val="ListNumber"/>
        <w:ind w:left="360" w:hanging="360"/>
      </w:pPr>
      <w:r>
        <w:rPr>
          <w:rFonts w:ascii="Calibri" w:hAnsi="Calibri"/>
          <w:b/>
          <w:color w:val="525866"/>
          <w:sz w:val="22"/>
        </w:rPr>
        <w:t xml:space="preserve">Delivery Hero synergies: </w:t>
      </w:r>
      <w:r>
        <w:rPr>
          <w:rFonts w:ascii="Calibri" w:hAnsi="Calibri"/>
          <w:color w:val="525866"/>
          <w:sz w:val="22"/>
        </w:rPr>
        <w:t>How does management define the &gt;$1.2B annualized synergy target? What portion is cost vs. revenue synergies? What is the integration timeline assumption?</w:t>
      </w:r>
    </w:p>
    <w:p>
      <w:r>
        <w:br w:type="page"/>
      </w:r>
    </w:p>
    <w:p>
      <w:pPr>
        <w:pStyle w:val="Heading1"/>
        <w:pBdr>
          <w:bottom w:val="single" w:sz="4" w:space="1" w:color="FB9120"/>
        </w:pBdr>
      </w:pPr>
      <w:r>
        <w:rPr>
          <w:rFonts w:ascii="Calibri" w:hAnsi="Calibri"/>
          <w:b/>
          <w:color w:val="3B4259"/>
          <w:sz w:val="40"/>
        </w:rPr>
        <w:t>Data Sources &amp; Disclosures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actuals, and revision history. Gross Bookings: https://insights.visiblealpha.com/mex/UBER_US/NMV/RV; Adjusted EBITDA: https://insights.visiblealpha.com/mex/UBER_US/NMV/SG; Revenue, EPS: https://insights.visiblealpha.com/mex/UBER_US/NMV/IS; FCF: https://insights.visiblealpha.com/mex/UBER_US/NMV/CF</w:t>
      </w:r>
    </w:p>
    <w:p>
      <w:pPr>
        <w:pStyle w:val="ListBullet"/>
        <w:ind w:left="360" w:hanging="360"/>
      </w:pPr>
      <w:r>
        <w:rPr>
          <w:rFonts w:ascii="Calibri" w:hAnsi="Calibri"/>
          <w:b/>
          <w:color w:val="525866"/>
          <w:sz w:val="22"/>
        </w:rPr>
        <w:t>Uber Q1 2026 Earnings Release (May 6, 2026)</w:t>
      </w:r>
      <w:r>
        <w:rPr>
          <w:rFonts w:ascii="Calibri" w:hAnsi="Calibri"/>
          <w:color w:val="525866"/>
          <w:sz w:val="22"/>
        </w:rPr>
        <w:t xml:space="preserve"> — Q1 2026 actuals and Q2 2026 guidance ranges.</w:t>
      </w:r>
    </w:p>
    <w:p>
      <w:pPr>
        <w:pStyle w:val="ListBullet"/>
        <w:ind w:left="360" w:hanging="360"/>
      </w:pPr>
      <w:r>
        <w:rPr>
          <w:rFonts w:ascii="Calibri" w:hAnsi="Calibri"/>
          <w:b/>
          <w:color w:val="525866"/>
          <w:sz w:val="22"/>
        </w:rPr>
        <w:t>Uber Q1 2026 Earnings Call Transcript (May 6, 2026)</w:t>
      </w:r>
      <w:r>
        <w:rPr>
          <w:rFonts w:ascii="Calibri" w:hAnsi="Calibri"/>
          <w:color w:val="525866"/>
          <w:sz w:val="22"/>
        </w:rPr>
        <w:t xml:space="preserve"> — Management commentary on U.S. Mobility, delivery, insurance, AV strategy, and capital allocation.</w:t>
      </w:r>
    </w:p>
    <w:p>
      <w:pPr>
        <w:pStyle w:val="ListBullet"/>
        <w:ind w:left="360" w:hanging="360"/>
      </w:pPr>
      <w:r>
        <w:rPr>
          <w:rFonts w:ascii="Calibri" w:hAnsi="Calibri"/>
          <w:b/>
          <w:color w:val="525866"/>
          <w:sz w:val="22"/>
        </w:rPr>
        <w:t>Bernstein Strategic Decisions Conference Transcript (May 28, 2026)</w:t>
      </w:r>
      <w:r>
        <w:rPr>
          <w:rFonts w:ascii="Calibri" w:hAnsi="Calibri"/>
          <w:color w:val="525866"/>
          <w:sz w:val="22"/>
        </w:rPr>
        <w:t xml:space="preserve"> — CFO post-Q1 commentary on Q2 guidance, insurance, AV deployments, and AI productivity.</w:t>
      </w:r>
    </w:p>
    <w:p>
      <w:pPr>
        <w:pStyle w:val="ListBullet"/>
        <w:ind w:left="360" w:hanging="360"/>
      </w:pPr>
      <w:r>
        <w:rPr>
          <w:rFonts w:ascii="Calibri" w:hAnsi="Calibri"/>
          <w:b/>
          <w:color w:val="525866"/>
          <w:sz w:val="22"/>
        </w:rPr>
        <w:t>Uber 8-K and M&amp;A Presentation (July 16, 2026)</w:t>
      </w:r>
      <w:r>
        <w:rPr>
          <w:rFonts w:ascii="Calibri" w:hAnsi="Calibri"/>
          <w:color w:val="525866"/>
          <w:sz w:val="22"/>
        </w:rPr>
        <w:t xml:space="preserve"> — Delivery Hero acquisition details, transaction economics, financing terms.</w:t>
      </w:r>
    </w:p>
    <w:p>
      <w:pPr>
        <w:pStyle w:val="ListBullet"/>
        <w:ind w:left="360" w:hanging="360"/>
      </w:pPr>
      <w:r>
        <w:rPr>
          <w:rFonts w:ascii="Calibri" w:hAnsi="Calibri"/>
          <w:b/>
          <w:color w:val="525866"/>
          <w:sz w:val="22"/>
        </w:rPr>
        <w:t>Booking Holdings Q2 2026 Earnings Call Transcript (August 4, 2026)</w:t>
      </w:r>
      <w:r>
        <w:rPr>
          <w:rFonts w:ascii="Calibri" w:hAnsi="Calibri"/>
          <w:color w:val="525866"/>
          <w:sz w:val="22"/>
        </w:rPr>
        <w:t xml:space="preserve"> — Travel demand read-through; consumer behavior in Q2 2026.</w:t>
      </w:r>
    </w:p>
    <w:p>
      <w:pPr>
        <w:pStyle w:val="ListBullet"/>
        <w:ind w:left="360" w:hanging="360"/>
      </w:pPr>
      <w:r>
        <w:rPr>
          <w:rFonts w:ascii="Calibri" w:hAnsi="Calibri"/>
          <w:b/>
          <w:color w:val="525866"/>
          <w:sz w:val="22"/>
        </w:rPr>
        <w:t>Stock Price Data (Yahoo Finance)</w:t>
      </w:r>
      <w:r>
        <w:rPr>
          <w:rFonts w:ascii="Calibri" w:hAnsi="Calibri"/>
          <w:color w:val="525866"/>
          <w:sz w:val="22"/>
        </w:rPr>
        <w:t xml:space="preserve"> — UBER, IYT, SPY daily close prices May 6 – August 4, 2026.</w:t>
      </w:r>
    </w:p>
    <w:p>
      <w:pPr>
        <w:pStyle w:val="ListBullet"/>
        <w:ind w:left="360" w:hanging="360"/>
      </w:pPr>
      <w:r>
        <w:rPr>
          <w:rFonts w:ascii="Calibri" w:hAnsi="Calibri"/>
          <w:b/>
          <w:color w:val="525866"/>
          <w:sz w:val="22"/>
        </w:rPr>
        <w:t>SEC Form 4 Filings (Insider Transaction Data)</w:t>
      </w:r>
      <w:r>
        <w:rPr>
          <w:rFonts w:ascii="Calibri" w:hAnsi="Calibri"/>
          <w:color w:val="525866"/>
          <w:sz w:val="22"/>
        </w:rPr>
        <w:t xml:space="preserve"> — All insider transactions filed May 6 – August 4, 2026. Source: https://www.sec.gov/</w:t>
      </w:r>
    </w:p>
    <w:p>
      <w:pPr>
        <w:pStyle w:val="ListBullet"/>
        <w:ind w:left="360" w:hanging="360"/>
      </w:pPr>
      <w:r>
        <w:rPr>
          <w:rFonts w:ascii="Calibri" w:hAnsi="Calibri"/>
          <w:b/>
          <w:color w:val="525866"/>
          <w:sz w:val="22"/>
        </w:rPr>
        <w:t>News sources</w:t>
      </w:r>
      <w:r>
        <w:rPr>
          <w:rFonts w:ascii="Calibri" w:hAnsi="Calibri"/>
          <w:color w:val="525866"/>
          <w:sz w:val="22"/>
        </w:rPr>
        <w:t xml:space="preserve"> — TechCrunch (Aug 1, Jul 26), CNBC (Jul 24, Aug 1), Financial Times (Jul 24–27), Bloomberg (Jul 22, Jul 27).</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consensus estimates are sourced from Visible Alpha and reflect analyst expectations as of August 4, 2026. Forward-looking statements are based on publicly available information and management guidance; actual results may differ materially. Prepared: August 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