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VST (Vistra Corp) before writing the preview. Let me gather recent filings, earnings history, guidance, and news.Let me check recent news, stock price performance, and any developments since the Q1 call.Let me read the PJM capacity auction 8-K and check for recent Cogentrix/news developments.Let me get last year's Q2 2025 results as a comparison base, and check for any Cogentrix closing news.# Vistra Corp. (VST) — Q2 2026 Earnings Preview</w:t>
      </w:r>
    </w:p>
    <w:p>
      <w:pPr>
        <w:pStyle w:val="BodyText"/>
      </w:pPr>
      <w:r>
        <w:rPr>
          <w:b/>
          <w:bCs/>
        </w:rPr>
        <w:t xml:space="preserve">Report date:</w:t>
      </w:r>
      <w:r>
        <w:t xml:space="preserve"> </w:t>
      </w:r>
      <w:r>
        <w:t xml:space="preserve">Thursday, August 7, 2026 (before market open; company typically hosts its call at ~9:00 a.m. ET)</w:t>
      </w:r>
      <w:r>
        <w:t xml:space="preserve"> </w:t>
      </w:r>
      <w:r>
        <w:rPr>
          <w:b/>
          <w:bCs/>
        </w:rPr>
        <w:t xml:space="preserve">Event:</w:t>
      </w:r>
      <w:r>
        <w:t xml:space="preserve"> </w:t>
      </w:r>
      <w:r>
        <w:t xml:space="preserve">Q2 2026 Earnings Call</w:t>
      </w:r>
      <w:r>
        <w:t xml:space="preserve"> </w:t>
      </w:r>
      <w:r>
        <w:rPr>
          <w:b/>
          <w:bCs/>
        </w:rPr>
        <w:t xml:space="preserve">Recent price:</w:t>
      </w:r>
      <w:r>
        <w:t xml:space="preserve"> </w:t>
      </w:r>
      <w:r>
        <w:t xml:space="preserve">~$141 (Aug 6, 2026)</w:t>
      </w:r>
    </w:p>
    <w:p>
      <w:r>
        <w:pict>
          <v:rect style="width:0;height:1.5pt" o:hralign="center" o:hrstd="t" o:hr="t"/>
        </w:pict>
      </w:r>
    </w:p>
    <w:bookmarkStart w:id="9" w:name="X1dab5f4994261387e3d78586fc183145a3fa124"/>
    <w:p>
      <w:pPr>
        <w:pStyle w:val="Heading2"/>
      </w:pPr>
      <w:r>
        <w:t xml:space="preserve">The setup: a de-rated IPP going into the print</w:t>
      </w:r>
    </w:p>
    <w:p>
      <w:pPr>
        <w:pStyle w:val="FirstParagraph"/>
      </w:pPr>
      <w:r>
        <w:t xml:space="preserve">VST enters this report having given back much of its momentum. The stock closed Aug 6 at ~</w:t>
      </w:r>
      <m:oMath>
        <m:r>
          <m:t>141</m:t>
        </m:r>
        <m:r>
          <m:rPr>
            <m:sty m:val="p"/>
          </m:rPr>
          <m:t>,</m:t>
        </m:r>
        <m:r>
          <m:t>d</m:t>
        </m:r>
        <m:r>
          <m:t>o</m:t>
        </m:r>
        <m:r>
          <m:t>w</m:t>
        </m:r>
        <m:r>
          <m:t>n</m:t>
        </m:r>
        <m:r>
          <m:t>r</m:t>
        </m:r>
        <m:r>
          <m:t>o</m:t>
        </m:r>
        <m:r>
          <m:t>u</m:t>
        </m:r>
        <m:r>
          <m:t>g</m:t>
        </m:r>
        <m:r>
          <m:t>h</m:t>
        </m:r>
        <m:r>
          <m:t>l</m:t>
        </m:r>
        <m:r>
          <m:t>y</m:t>
        </m:r>
        <m:r>
          <m:t>14</m:t>
        </m:r>
      </m:oMath>
      <w:r>
        <w:t xml:space="preserve">165 at the start of January, and well off its mid-January high near</w:t>
      </w:r>
      <w:r>
        <w:t xml:space="preserve"> </w:t>
      </w:r>
      <m:oMath>
        <m:r>
          <m:t>180</m:t>
        </m:r>
        <m:r>
          <m:rPr>
            <m:sty m:val="p"/>
          </m:rPr>
          <m:t>.</m:t>
        </m:r>
        <m:r>
          <m:t>M</m:t>
        </m:r>
        <m:r>
          <m:t>o</m:t>
        </m:r>
        <m:r>
          <m:t>r</m:t>
        </m:r>
        <m:r>
          <m:t>e</m:t>
        </m:r>
        <m:r>
          <m:t>n</m:t>
        </m:r>
        <m:r>
          <m:t>o</m:t>
        </m:r>
        <m:r>
          <m:t>t</m:t>
        </m:r>
        <m:r>
          <m:t>a</m:t>
        </m:r>
        <m:r>
          <m:t>b</m:t>
        </m:r>
        <m:r>
          <m:t>l</m:t>
        </m:r>
        <m:r>
          <m:t>y</m:t>
        </m:r>
        <m:r>
          <m:rPr>
            <m:sty m:val="p"/>
          </m:rPr>
          <m:t>,</m:t>
        </m:r>
        <m:r>
          <m:t>i</m:t>
        </m:r>
        <m:r>
          <m:t>t</m:t>
        </m:r>
        <m:r>
          <m:t>s</m:t>
        </m:r>
        <m:r>
          <m:t>o</m:t>
        </m:r>
        <m:r>
          <m:t>l</m:t>
        </m:r>
        <m:r>
          <m:t>d</m:t>
        </m:r>
        <m:r>
          <m:t>o</m:t>
        </m:r>
        <m:r>
          <m:t>f</m:t>
        </m:r>
        <m:r>
          <m:t>f</m:t>
        </m:r>
        <m:r>
          <m:t>s</m:t>
        </m:r>
        <m:r>
          <m:t>h</m:t>
        </m:r>
        <m:r>
          <m:t>a</m:t>
        </m:r>
        <m:r>
          <m:t>r</m:t>
        </m:r>
        <m:r>
          <m:t>p</m:t>
        </m:r>
        <m:r>
          <m:t>l</m:t>
        </m:r>
        <m:r>
          <m:t>y</m:t>
        </m:r>
        <m:r>
          <m:t>i</m:t>
        </m:r>
        <m:r>
          <m:t>n</m:t>
        </m:r>
        <m:r>
          <m:t>t</m:t>
        </m:r>
        <m:r>
          <m:t>h</m:t>
        </m:r>
        <m:r>
          <m:t>e</m:t>
        </m:r>
        <m:r>
          <m:t>d</m:t>
        </m:r>
        <m:r>
          <m:t>a</m:t>
        </m:r>
        <m:r>
          <m:t>y</m:t>
        </m:r>
        <m:r>
          <m:t>s</m:t>
        </m:r>
        <m:r>
          <m:t>j</m:t>
        </m:r>
        <m:r>
          <m:t>u</m:t>
        </m:r>
        <m:r>
          <m:t>s</m:t>
        </m:r>
        <m:r>
          <m:t>t</m:t>
        </m:r>
        <m:r>
          <m:t>a</m:t>
        </m:r>
        <m:r>
          <m:t>h</m:t>
        </m:r>
        <m:r>
          <m:t>e</m:t>
        </m:r>
        <m:r>
          <m:t>a</m:t>
        </m:r>
        <m:r>
          <m:t>d</m:t>
        </m:r>
        <m:r>
          <m:t>o</m:t>
        </m:r>
        <m:r>
          <m:t>f</m:t>
        </m:r>
        <m:r>
          <m:t>t</m:t>
        </m:r>
        <m:r>
          <m:t>h</m:t>
        </m:r>
        <m:r>
          <m:t>e</m:t>
        </m:r>
        <m:r>
          <m:t>p</m:t>
        </m:r>
        <m:r>
          <m:t>r</m:t>
        </m:r>
        <m:r>
          <m:t>i</m:t>
        </m:r>
        <m:r>
          <m:t>n</m:t>
        </m:r>
        <m:r>
          <m:t>t</m:t>
        </m:r>
        <m:r>
          <m:rPr>
            <m:sty m:val="p"/>
          </m:rPr>
          <m:t>—</m:t>
        </m:r>
        <m:r>
          <m:t>f</m:t>
        </m:r>
        <m:r>
          <m:t>r</m:t>
        </m:r>
        <m:r>
          <m:t>o</m:t>
        </m:r>
        <m:r>
          <m:t>m</m:t>
        </m:r>
        <m:r>
          <m:t> </m:t>
        </m:r>
      </m:oMath>
      <w:r>
        <w:t xml:space="preserve">156 on Aug 3 to ~$141 on Aug 6 — a move that tracked a brutal drop in peer NRG (down ~15% on Aug 4 alone, likely an earnings reaction) and a broadly weak tape for the independent power producers. For context, the merchant/nuclear-levered cohort has de-rated hard this year: CEG is down ~29% YTD and NRG ~28%, versus VST and TLN down mid-teens.</w:t>
      </w:r>
    </w:p>
    <w:p>
      <w:pPr>
        <w:pStyle w:val="BodyText"/>
      </w:pPr>
      <w:r>
        <w:t xml:space="preserve">The narrative driving the group lower all year has been</w:t>
      </w:r>
      <w:r>
        <w:t xml:space="preserve"> </w:t>
      </w:r>
      <w:r>
        <w:rPr>
          <w:b/>
          <w:bCs/>
        </w:rPr>
        <w:t xml:space="preserve">the timing (not the existence) of data-center load growth</w:t>
      </w:r>
      <w:r>
        <w:t xml:space="preserve"> </w:t>
      </w:r>
      <w:r>
        <w:t xml:space="preserve">— investors are increasingly focused on when contracted demand actually shows up in cash flows, against a backdrop of softer near-term power curves and regulatory noise in both PJM and ERCOT. That tension is the lens for this report.</w:t>
      </w:r>
    </w:p>
    <w:p>
      <w:r>
        <w:pict>
          <v:rect style="width:0;height:1.5pt" o:hralign="center" o:hrstd="t" o:hr="t"/>
        </w:pict>
      </w:r>
    </w:p>
    <w:bookmarkEnd w:id="9"/>
    <w:bookmarkStart w:id="10" w:name="what-actually-matters-in-the-quarter"/>
    <w:p>
      <w:pPr>
        <w:pStyle w:val="Heading2"/>
      </w:pPr>
      <w:r>
        <w:t xml:space="preserve">What actually matters in the quarter</w:t>
      </w:r>
    </w:p>
    <w:p>
      <w:pPr>
        <w:pStyle w:val="FirstParagraph"/>
      </w:pPr>
      <w:r>
        <w:rPr>
          <w:b/>
          <w:bCs/>
        </w:rPr>
        <w:t xml:space="preserve">1. Guidance reaffirmation — and whether Cogentrix gets folded in.</w:t>
      </w:r>
      <w:r>
        <w:t xml:space="preserve"> </w:t>
      </w:r>
      <w:r>
        <w:t xml:space="preserve">On the Q1 call (May 7), management reaffirmed 2026 Ongoing Operations Adjusted EBITDA guidance of</w:t>
      </w:r>
      <w:r>
        <w:t xml:space="preserve"> </w:t>
      </w:r>
      <m:oMath>
        <m:r>
          <m:t>6.8</m:t>
        </m:r>
        <m:r>
          <m:t>B</m:t>
        </m:r>
        <m:r>
          <m:rPr>
            <m:sty m:val="p"/>
          </m:rPr>
          <m:t>–</m:t>
        </m:r>
      </m:oMath>
      <w:r>
        <w:rPr>
          <w:b/>
          <w:bCs/>
        </w:rPr>
        <w:t xml:space="preserve">7.6B</w:t>
      </w:r>
      <w:r>
        <w:t xml:space="preserve"> </w:t>
      </w:r>
      <w:r>
        <w:t xml:space="preserve">and Adjusted FCFbG of</w:t>
      </w:r>
      <w:r>
        <w:t xml:space="preserve"> </w:t>
      </w:r>
      <m:oMath>
        <m:r>
          <m:t>3.925</m:t>
        </m:r>
        <m:r>
          <m:t>B</m:t>
        </m:r>
        <m:r>
          <m:rPr>
            <m:sty m:val="p"/>
          </m:rPr>
          <m:t>–</m:t>
        </m:r>
      </m:oMath>
      <w:r>
        <w:rPr>
          <w:b/>
          <w:bCs/>
        </w:rPr>
        <w:t xml:space="preserve">4.725B</w:t>
      </w:r>
      <w:r>
        <w:t xml:space="preserve">, and maintained a 2027 Adjusted EBITDA midpoint opportunity of</w:t>
      </w:r>
      <w:r>
        <w:t xml:space="preserve"> </w:t>
      </w:r>
      <m:oMath>
        <m:r>
          <m:t>7.4</m:t>
        </m:r>
        <m:r>
          <m:t>B</m:t>
        </m:r>
        <m:r>
          <m:rPr>
            <m:sty m:val="p"/>
          </m:rPr>
          <m:t>–</m:t>
        </m:r>
      </m:oMath>
      <w:r>
        <w:rPr>
          <w:b/>
          <w:bCs/>
        </w:rPr>
        <w:t xml:space="preserve">7.8B</w:t>
      </w:r>
      <w:r>
        <w:t xml:space="preserve">. Critically, all of those figures</w:t>
      </w:r>
      <w:r>
        <w:t xml:space="preserve"> </w:t>
      </w:r>
      <w:r>
        <w:rPr>
          <w:b/>
          <w:bCs/>
        </w:rPr>
        <w:t xml:space="preserve">exclude</w:t>
      </w:r>
      <w:r>
        <w:t xml:space="preserve"> </w:t>
      </w:r>
      <w:r>
        <w:t xml:space="preserve">the pending 5,500-MW Cogentrix natural gas acquisition and the Meta nuclear PPAs. Management said it would refresh both the 2026 ranges and the 2027 midpoint</w:t>
      </w:r>
      <w:r>
        <w:t xml:space="preserve"> </w:t>
      </w:r>
      <w:r>
        <w:rPr>
          <w:b/>
          <w:bCs/>
        </w:rPr>
        <w:t xml:space="preserve">after</w:t>
      </w:r>
      <w:r>
        <w:t xml:space="preserve"> </w:t>
      </w:r>
      <w:r>
        <w:t xml:space="preserve">Cogentrix closes, which it is targeting for 2H 2026. The single biggest potential catalyst here is whether the deal has closed (or is imminent) and whether Vistra provides a first look at pro-forma numbers. Any update to the 2027 opportunity range will frame the "is the stock cheap?" debate.</w:t>
      </w:r>
    </w:p>
    <w:p>
      <w:pPr>
        <w:pStyle w:val="BodyText"/>
      </w:pPr>
      <w:r>
        <w:rPr>
          <w:b/>
          <w:bCs/>
        </w:rPr>
        <w:t xml:space="preserve">2. Summer weather / ERCOT — this is a retail-heavy quarter.</w:t>
      </w:r>
      <w:r>
        <w:t xml:space="preserve"> </w:t>
      </w:r>
      <w:r>
        <w:t xml:space="preserve">Q2 is seasonally Vistra's biggest retail quarter. Last year (Q2 2025), Retail delivered $756M of the $1,349M Ongoing EBITDA, with Texas at just $142M (depressed by outages/hedging) and East at $418M. Watch the retail segment closely: management flagged an unusually mild Texas Q1 and guided to full-year retail moderating off 2025's record, while still hitting its medium-term target. On generation, ERCOT summer 2026 realized pricing/scarcity is the swing factor — recall management's view that forward curves have been held down by mild weather and a wave of (mostly 1–2 hour) battery additions that haven't yet been stress-tested by high-load-factor demand.</w:t>
      </w:r>
    </w:p>
    <w:p>
      <w:pPr>
        <w:pStyle w:val="BodyText"/>
      </w:pPr>
      <w:r>
        <w:rPr>
          <w:b/>
          <w:bCs/>
        </w:rPr>
        <w:t xml:space="preserve">3. Hedging cushions the full-year number.</w:t>
      </w:r>
      <w:r>
        <w:t xml:space="preserve"> </w:t>
      </w:r>
      <w:r>
        <w:t xml:space="preserve">As of May 1, Vistra was ~98% hedged for 2026, ~89% for 2027, and ~65% for 2028. That heavy hedge — plus the nuclear PTC floor — means a soft or strong quarter of weather shouldn't move the full-year print much; the market reaction will hinge far more on guidance, contracting, and capital returns than on the Q2 EBITDA beat/miss itself.</w:t>
      </w:r>
    </w:p>
    <w:p>
      <w:pPr>
        <w:pStyle w:val="BodyText"/>
      </w:pPr>
      <w:r>
        <w:rPr>
          <w:b/>
          <w:bCs/>
        </w:rPr>
        <w:t xml:space="preserve">4. The PJM capacity tailwind is now locked for 2028/29.</w:t>
      </w:r>
      <w:r>
        <w:t xml:space="preserve"> </w:t>
      </w:r>
      <w:r>
        <w:t xml:space="preserve">On July 14, Vistra disclosed it cleared</w:t>
      </w:r>
      <w:r>
        <w:t xml:space="preserve"> </w:t>
      </w:r>
      <w:r>
        <w:rPr>
          <w:b/>
          <w:bCs/>
        </w:rPr>
        <w:t xml:space="preserve">~10,924 MW at $325/MW-day</w:t>
      </w:r>
      <w:r>
        <w:t xml:space="preserve"> </w:t>
      </w:r>
      <w:r>
        <w:t xml:space="preserve">in the PJM 2028/2029 capacity auction — near the price cap and a meaningful step up that supports East-segment earnings power into the back half of the decade. Expect management to quantify the read-through to the (soon-to-be-updated) 2028 outlook.</w:t>
      </w:r>
    </w:p>
    <w:p>
      <w:pPr>
        <w:pStyle w:val="BodyText"/>
      </w:pPr>
      <w:r>
        <w:rPr>
          <w:b/>
          <w:bCs/>
        </w:rPr>
        <w:t xml:space="preserve">5. Data-center / large-load contracting — the key catalyst everyone is waiting on.</w:t>
      </w:r>
      <w:r>
        <w:t xml:space="preserve"> </w:t>
      </w:r>
      <w:r>
        <w:t xml:space="preserve">Management has a large "shots on goal" pipeline: ~3.2 GW of nuclear (Beaver Valley and Comanche Peak) available for long-term contracting, plus gas-plant deals and potential new-builds, on top of the already-signed Meta PPAs (~2,600 MW) at its PJM nuclear sites. On Q1, management insisted the pace of customer engagement was "as high as we've ever seen," pushing back on peer commentary (Constellation) about a customer pause tied to PJM regulatory uncertainty.</w:t>
      </w:r>
      <w:r>
        <w:t xml:space="preserve"> </w:t>
      </w:r>
      <w:r>
        <w:rPr>
          <w:b/>
          <w:bCs/>
        </w:rPr>
        <w:t xml:space="preserve">A new signed gas or nuclear contract would be the most bullish outcome of this print.</w:t>
      </w:r>
      <w:r>
        <w:t xml:space="preserve"> </w:t>
      </w:r>
      <w:r>
        <w:t xml:space="preserve">Conversely, any hint of slippage or "we need more regulatory clarity" would validate the bear case that's driven the group down all year.</w:t>
      </w:r>
    </w:p>
    <w:p>
      <w:pPr>
        <w:pStyle w:val="BodyText"/>
      </w:pPr>
      <w:r>
        <w:rPr>
          <w:b/>
          <w:bCs/>
        </w:rPr>
        <w:t xml:space="preserve">6. Capital allocation / buyback pace.</w:t>
      </w:r>
      <w:r>
        <w:t xml:space="preserve"> </w:t>
      </w:r>
      <w:r>
        <w:t xml:space="preserve">Vistra accelerated repurchases early in 2026 (~</w:t>
      </w:r>
      <m:oMath>
        <m:r>
          <m:t>525</m:t>
        </m:r>
        <m:r>
          <m:t>M</m:t>
        </m:r>
        <m:r>
          <m:t>i</m:t>
        </m:r>
        <m:r>
          <m:t>n</m:t>
        </m:r>
        <m:r>
          <m:t>t</m:t>
        </m:r>
        <m:r>
          <m:t>h</m:t>
        </m:r>
        <m:r>
          <m:t>e</m:t>
        </m:r>
        <m:r>
          <m:t>f</m:t>
        </m:r>
        <m:r>
          <m:t>i</m:t>
        </m:r>
        <m:r>
          <m:t>r</m:t>
        </m:r>
        <m:r>
          <m:t>s</m:t>
        </m:r>
        <m:r>
          <m:t>t</m:t>
        </m:r>
        <m:r>
          <m:t>f</m:t>
        </m:r>
        <m:r>
          <m:t>o</m:t>
        </m:r>
        <m:r>
          <m:t>u</m:t>
        </m:r>
        <m:r>
          <m:t>r</m:t>
        </m:r>
        <m:r>
          <m:t>m</m:t>
        </m:r>
        <m:r>
          <m:t>o</m:t>
        </m:r>
        <m:r>
          <m:t>n</m:t>
        </m:r>
        <m:r>
          <m:t>t</m:t>
        </m:r>
        <m:r>
          <m:t>h</m:t>
        </m:r>
        <m:r>
          <m:t>s</m:t>
        </m:r>
        <m:r>
          <m:rPr>
            <m:sty m:val="p"/>
          </m:rPr>
          <m:t>,</m:t>
        </m:r>
        <m:r>
          <m:t> </m:t>
        </m:r>
      </m:oMath>
      <w:r>
        <w:t xml:space="preserve">600M total returned including the dividend), and had ~</w:t>
      </w:r>
      <m:oMath>
        <m:r>
          <m:t>1.475</m:t>
        </m:r>
        <m:r>
          <m:t>B</m:t>
        </m:r>
        <m:r>
          <m:rPr>
            <m:sty m:val="p"/>
          </m:rPr>
          <m:t>–</m:t>
        </m:r>
      </m:oMath>
      <w:r>
        <w:t xml:space="preserve">1.5B of authorization remaining, expected to be completed by year-end 2027. Its 10b5-1 program is explicitly designed to buy more aggressively as free-cash-flow yield rises — and with the stock down meaningfully since May, investors will want to see whether Q2/Q3-to-date repurchase activity stepped up further. Management continues to frame &gt;</w:t>
      </w:r>
      <m:oMath>
        <m:r>
          <m:t>10</m:t>
        </m:r>
        <m:r>
          <m:t>B</m:t>
        </m:r>
        <m:r>
          <m:t>o</m:t>
        </m:r>
        <m:r>
          <m:t>f</m:t>
        </m:r>
        <m:r>
          <m:t>c</m:t>
        </m:r>
        <m:r>
          <m:t>a</m:t>
        </m:r>
        <m:r>
          <m:t>s</m:t>
        </m:r>
        <m:r>
          <m:t>h</m:t>
        </m:r>
        <m:r>
          <m:t>g</m:t>
        </m:r>
        <m:r>
          <m:t>e</m:t>
        </m:r>
        <m:r>
          <m:t>n</m:t>
        </m:r>
        <m:r>
          <m:t>e</m:t>
        </m:r>
        <m:r>
          <m:t>r</m:t>
        </m:r>
        <m:r>
          <m:t>a</m:t>
        </m:r>
        <m:r>
          <m:t>t</m:t>
        </m:r>
        <m:r>
          <m:t>i</m:t>
        </m:r>
        <m:r>
          <m:t>o</m:t>
        </m:r>
        <m:r>
          <m:t>n</m:t>
        </m:r>
        <m:r>
          <m:t>o</m:t>
        </m:r>
        <m:r>
          <m:t>v</m:t>
        </m:r>
        <m:r>
          <m:t>e</m:t>
        </m:r>
        <m:r>
          <m:t>r</m:t>
        </m:r>
        <m:r>
          <m:t>2026</m:t>
        </m:r>
        <m:r>
          <m:rPr>
            <m:sty m:val="p"/>
          </m:rPr>
          <m:t>–</m:t>
        </m:r>
        <m:r>
          <m:t>2027</m:t>
        </m:r>
        <m:r>
          <m:t>w</m:t>
        </m:r>
        <m:r>
          <m:t>i</m:t>
        </m:r>
        <m:r>
          <m:t>t</m:t>
        </m:r>
        <m:r>
          <m:t>h</m:t>
        </m:r>
        <m:r>
          <m:t> </m:t>
        </m:r>
      </m:oMath>
      <w:r>
        <w:t xml:space="preserve">3B to shareholders, ~</w:t>
      </w:r>
      <m:oMath>
        <m:r>
          <m:t>4</m:t>
        </m:r>
        <m:r>
          <m:t>B</m:t>
        </m:r>
        <m:r>
          <m:t>t</m:t>
        </m:r>
        <m:r>
          <m:t>o</m:t>
        </m:r>
        <m:r>
          <m:t>g</m:t>
        </m:r>
        <m:r>
          <m:t>r</m:t>
        </m:r>
        <m:r>
          <m:t>o</m:t>
        </m:r>
        <m:r>
          <m:t>w</m:t>
        </m:r>
        <m:r>
          <m:t>t</m:t>
        </m:r>
        <m:r>
          <m:t>h</m:t>
        </m:r>
        <m:r>
          <m:rPr>
            <m:sty m:val="p"/>
          </m:rPr>
          <m:t>(</m:t>
        </m:r>
        <m:r>
          <m:t>i</m:t>
        </m:r>
        <m:r>
          <m:t>n</m:t>
        </m:r>
        <m:r>
          <m:t>c</m:t>
        </m:r>
        <m:r>
          <m:t>l</m:t>
        </m:r>
        <m:r>
          <m:t>u</m:t>
        </m:r>
        <m:r>
          <m:t>d</m:t>
        </m:r>
        <m:r>
          <m:t>i</m:t>
        </m:r>
        <m:r>
          <m:t>n</m:t>
        </m:r>
        <m:r>
          <m:t>g</m:t>
        </m:r>
        <m:r>
          <m:t>C</m:t>
        </m:r>
        <m:r>
          <m:t>o</m:t>
        </m:r>
        <m:r>
          <m:t>g</m:t>
        </m:r>
        <m:r>
          <m:t>e</m:t>
        </m:r>
        <m:r>
          <m:t>n</m:t>
        </m:r>
        <m:r>
          <m:t>t</m:t>
        </m:r>
        <m:r>
          <m:t>r</m:t>
        </m:r>
        <m:r>
          <m:t>i</m:t>
        </m:r>
        <m:r>
          <m:t>x</m:t>
        </m:r>
        <m:r>
          <m:rPr>
            <m:sty m:val="p"/>
          </m:rPr>
          <m:t>)</m:t>
        </m:r>
        <m:r>
          <m:rPr>
            <m:sty m:val="p"/>
          </m:rPr>
          <m:t>,</m:t>
        </m:r>
        <m:r>
          <m:t>a</m:t>
        </m:r>
        <m:r>
          <m:t>n</m:t>
        </m:r>
        <m:r>
          <m:t>d</m:t>
        </m:r>
        <m:r>
          <m:t> </m:t>
        </m:r>
      </m:oMath>
      <w:r>
        <w:t xml:space="preserve">3B of "flex" capital still to allocate.</w:t>
      </w:r>
    </w:p>
    <w:p>
      <w:pPr>
        <w:pStyle w:val="BodyText"/>
      </w:pPr>
      <w:r>
        <w:rPr>
          <w:b/>
          <w:bCs/>
        </w:rPr>
        <w:t xml:space="preserve">7. Balance sheet / investment grade.</w:t>
      </w:r>
      <w:r>
        <w:t xml:space="preserve"> </w:t>
      </w:r>
      <w:r>
        <w:t xml:space="preserve">Vistra reached investment grade at two agencies (S&amp;P late 2025, Fitch in Q1 2026), which triggered lien releases in its secured debt. Since then it has boosted its corporate revolver to $5.5B (June) and amended/extended a $1.25B receivables facility (July) — housekeeping that pre-funds Cogentrix. Expect reaffirmed IG-consistent leverage targets.</w:t>
      </w:r>
    </w:p>
    <w:p>
      <w:r>
        <w:pict>
          <v:rect style="width:0;height:1.5pt" o:hralign="center" o:hrstd="t" o:hr="t"/>
        </w:pict>
      </w:r>
    </w:p>
    <w:bookmarkEnd w:id="10"/>
    <w:bookmarkStart w:id="11" w:name="bull-vs-bear-framing"/>
    <w:p>
      <w:pPr>
        <w:pStyle w:val="Heading2"/>
      </w:pPr>
      <w:r>
        <w:t xml:space="preserve">Bull vs. bear framing</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Bull case</w:t>
            </w:r>
          </w:p>
        </w:tc>
        <w:tc>
          <w:tcPr/>
          <w:p>
            <w:pPr>
              <w:pStyle w:val="Compact"/>
            </w:pPr>
            <w:r>
              <w:t xml:space="preserve">Bear case</w:t>
            </w:r>
          </w:p>
        </w:tc>
      </w:tr>
      <w:tr>
        <w:tc>
          <w:tcPr/>
          <w:p>
            <w:pPr>
              <w:pStyle w:val="Compact"/>
            </w:pPr>
            <w:r>
              <w:rPr>
                <w:b/>
                <w:bCs/>
              </w:rPr>
              <w:t xml:space="preserve">Demand</w:t>
            </w:r>
          </w:p>
        </w:tc>
        <w:tc>
          <w:tcPr/>
          <w:p>
            <w:pPr>
              <w:pStyle w:val="Compact"/>
            </w:pPr>
            <w:r>
              <w:t xml:space="preserve">Load growth "real and actualizing"; ERCOT +5–6%/yr, PJM +2–3%/yr</w:t>
            </w:r>
          </w:p>
        </w:tc>
        <w:tc>
          <w:tcPr/>
          <w:p>
            <w:pPr>
              <w:pStyle w:val="Compact"/>
            </w:pPr>
            <w:r>
              <w:t xml:space="preserve">Timing keeps slipping; curves reflect skepticism on speed of hookups</w:t>
            </w:r>
          </w:p>
        </w:tc>
      </w:tr>
      <w:tr>
        <w:tc>
          <w:tcPr/>
          <w:p>
            <w:pPr>
              <w:pStyle w:val="Compact"/>
            </w:pPr>
            <w:r>
              <w:rPr>
                <w:b/>
                <w:bCs/>
              </w:rPr>
              <w:t xml:space="preserve">Contracting</w:t>
            </w:r>
          </w:p>
        </w:tc>
        <w:tc>
          <w:tcPr/>
          <w:p>
            <w:pPr>
              <w:pStyle w:val="Compact"/>
            </w:pPr>
            <w:r>
              <w:t xml:space="preserve">New nuclear/gas deal signed; Cogentrix closes with accretive guidance raise</w:t>
            </w:r>
          </w:p>
        </w:tc>
        <w:tc>
          <w:tcPr/>
          <w:p>
            <w:pPr>
              <w:pStyle w:val="Compact"/>
            </w:pPr>
            <w:r>
              <w:t xml:space="preserve">Regulatory limbo (PJM colocation rules, ERCOT batch process) stalls deals</w:t>
            </w:r>
          </w:p>
        </w:tc>
      </w:tr>
      <w:tr>
        <w:tc>
          <w:tcPr/>
          <w:p>
            <w:pPr>
              <w:pStyle w:val="Compact"/>
            </w:pPr>
            <w:r>
              <w:rPr>
                <w:b/>
                <w:bCs/>
              </w:rPr>
              <w:t xml:space="preserve">Earnings power</w:t>
            </w:r>
          </w:p>
        </w:tc>
        <w:tc>
          <w:tcPr/>
          <w:p>
            <w:pPr>
              <w:pStyle w:val="Compact"/>
            </w:pPr>
            <w:r>
              <w:t xml:space="preserve">$325/MW-day PJM clear + hedges + PTC floor = highly visible growth into 2028</w:t>
            </w:r>
          </w:p>
        </w:tc>
        <w:tc>
          <w:tcPr/>
          <w:p>
            <w:pPr>
              <w:pStyle w:val="Compact"/>
            </w:pPr>
            <w:r>
              <w:t xml:space="preserve">ERCOT spark spreads soft on mild weather + battery oversupply</w:t>
            </w:r>
          </w:p>
        </w:tc>
      </w:tr>
      <w:tr>
        <w:tc>
          <w:tcPr/>
          <w:p>
            <w:pPr>
              <w:pStyle w:val="Compact"/>
            </w:pPr>
            <w:r>
              <w:rPr>
                <w:b/>
                <w:bCs/>
              </w:rPr>
              <w:t xml:space="preserve">Capital</w:t>
            </w:r>
          </w:p>
        </w:tc>
        <w:tc>
          <w:tcPr/>
          <w:p>
            <w:pPr>
              <w:pStyle w:val="Compact"/>
            </w:pPr>
            <w:r>
              <w:t xml:space="preserve">Accelerated buybacks into weakness; IG flexibility</w:t>
            </w:r>
          </w:p>
        </w:tc>
        <w:tc>
          <w:tcPr/>
          <w:p>
            <w:pPr>
              <w:pStyle w:val="Compact"/>
            </w:pPr>
            <w:r>
              <w:t xml:space="preserve">~$4B of growth capex competes with returns</w:t>
            </w:r>
          </w:p>
        </w:tc>
      </w:tr>
    </w:tbl>
    <w:p>
      <w:r>
        <w:pict>
          <v:rect style="width:0;height:1.5pt" o:hralign="center" o:hrstd="t" o:hr="t"/>
        </w:pict>
      </w:r>
    </w:p>
    <w:bookmarkEnd w:id="11"/>
    <w:bookmarkStart w:id="12" w:name="bottom-line"/>
    <w:p>
      <w:pPr>
        <w:pStyle w:val="Heading2"/>
      </w:pPr>
      <w:r>
        <w:t xml:space="preserve">Bottom line</w:t>
      </w:r>
    </w:p>
    <w:p>
      <w:pPr>
        <w:pStyle w:val="FirstParagraph"/>
      </w:pPr>
      <w:r>
        <w:t xml:space="preserve">Because Vistra is ~98% hedged for 2026, the headline Q2 EBITDA is unlikely to be the story — the print is a</w:t>
      </w:r>
      <w:r>
        <w:t xml:space="preserve"> </w:t>
      </w:r>
      <w:r>
        <w:rPr>
          <w:b/>
          <w:bCs/>
        </w:rPr>
        <w:t xml:space="preserve">catalyst check</w:t>
      </w:r>
      <w:r>
        <w:t xml:space="preserve"> </w:t>
      </w:r>
      <w:r>
        <w:t xml:space="preserve">on three things: (1) a Cogentrix close and the associated guidance/2027-midpoint refresh, (2) any new large-load contract that proves the data-center thesis is converting to signed cash flows, and (3) how aggressively management is leaning into buybacks now that the stock has de-rated. Given the sharp pre-earnings selloff and the punishment NRG just took, expectations are guarded and the risk/reward is unusually event-driven. Watch the guidance language and the contracting commentary far more than the reported quarter.</w:t>
      </w:r>
    </w:p>
    <w:p>
      <w:pPr>
        <w:pStyle w:val="BodyText"/>
      </w:pPr>
      <w:r>
        <w:rPr>
          <w:i/>
          <w:iCs/>
        </w:rPr>
        <w:t xml:space="preserve">(Note: This preview is built from Vistra's Q1 2026 results and call, its Q2 2025 comparables, recent 8-K disclosures, and market data available through Aug 6, 2026. I was not able to retrieve a formal sell-side consensus estimate from the available tools, so the framing anchors to company guidance rather than a specific EPS/EBITDA consensus number.)</w:t>
      </w:r>
    </w:p>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2026-08-07T00:09:51Z</dcterms:created>
  <dcterms:modified xsi:type="dcterms:W3CDTF">2026-08-07T00:09:51Z</dcterms:modified>
</cp:coreProperties>
</file>

<file path=docProps/custom.xml><?xml version="1.0" encoding="utf-8"?>
<Properties xmlns="http://schemas.openxmlformats.org/officeDocument/2006/custom-properties" xmlns:vt="http://schemas.openxmlformats.org/officeDocument/2006/docPropsVTypes"/>
</file>