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st-earnings-predictions--2026-08-07"/>
    <w:p>
      <w:pPr>
        <w:pStyle w:val="Heading1"/>
      </w:pPr>
      <w:r>
        <w:t xml:space="preserve">VST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(Ongoing Operations, 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(GAAP, 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2.65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 (reaffirm vs. raise)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~$7.2B midpoint (range</w:t>
            </w:r>
            <w:r>
              <w:t xml:space="preserve"> </w:t>
            </w:r>
            <m:oMath>
              <m:r>
                <m:t>6.8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7.6B reaffirmed) vs. cons ~$7.2B midpoint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FCF before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~$4.33B midpoint (range</w:t>
            </w:r>
            <w:r>
              <w:t xml:space="preserve"> </w:t>
            </w:r>
            <m:oMath>
              <m:r>
                <m:t>3.925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4.725B reaffirmed) vs. cons ~$4.3B midpoint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Adjusted EBITDA midpoint opportunity range (ex-Cogentrix/Meta)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~$7.7B midpoint (modest raise reflecting</w:t>
            </w:r>
            <w:r>
              <w:t xml:space="preserve"> </w:t>
            </w:r>
            <m:oMath>
              <m:r>
                <m:t>325</m:t>
              </m:r>
              <m:r>
                <m:rPr>
                  <m:sty m:val="p"/>
                </m:rPr>
                <m:t>/</m:t>
              </m:r>
              <m:r>
                <m:t>M</m:t>
              </m:r>
              <m:r>
                <m:t>W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a</m:t>
              </m:r>
              <m:r>
                <m:t>y</m:t>
              </m:r>
              <m:r>
                <m:t>P</m:t>
              </m:r>
              <m:r>
                <m:t>J</m:t>
              </m:r>
              <m:r>
                <m:t>M</m:t>
              </m:r>
              <m:r>
                <m:t>a</m:t>
              </m:r>
              <m:r>
                <m:t>u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7.6B midpoint (2027)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Cogentrix acquisition closing timeline / guidance inclusion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~Q4 2026 close (still excluded from guidance) vs. cons ~Q3/Q4 2026 close (2026)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A likely Q2 beat (hot summer ERCOT demand, PJM capacity tailwinds, fully-hedged book) should spark an initial relief rally given the stock is already ~34% off highs and peers (NRG -15%, TLN -3%, CEG -1.5%) traded down hard into their own Q2 prints this week. But management is expected to reaffirm rather than raise full-year 2026 Adjusted EBITDA/FCF guidance (Cogentrix/Meta PPA upside still excluded pending deal close), which caps the magnitude of forward estimate revisions even after a quarterly beat — the classic 'beat but no raise' setup that lets sell-side models trim implied 2H26/2027 assumptions once the initial pop fades. Layered on top is the same-day FERC filing on large-load curtailment rules and the looming September PJM backstop reliability auction, both of which keep a regulatory/political overhang on the multiple and have already proven capable of overriding fundamentals in this tape (Q1's clean beat still closed down 2.7%). Net effect: a modest bounce on day 1 that fades over the week as the guidance-reaffirm-not-raise dynamic and PJM policy headlines reassert themselves.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2026-08-07T00:11:11Z</dcterms:created>
  <dcterms:modified xsi:type="dcterms:W3CDTF">2026-08-07T00:11:11Z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