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74c6555dd429e6464324d995f9d5a8e2bd2a241"/>
    <w:p>
      <w:pPr>
        <w:pStyle w:val="Heading1"/>
      </w:pPr>
      <w:r>
        <w:t xml:space="preserve">Vistra Corp. (VST) — Q2 2026 Earnings Preview</w:t>
      </w:r>
    </w:p>
    <w:p>
      <w:pPr>
        <w:pStyle w:val="FirstParagraph"/>
      </w:pPr>
      <w:r>
        <w:rPr>
          <w:b/>
          <w:bCs/>
        </w:rPr>
        <w:t xml:space="preserve">Report date:</w:t>
      </w:r>
      <w:r>
        <w:t xml:space="preserve"> </w:t>
      </w:r>
      <w:r>
        <w:t xml:space="preserve">Friday, August 7,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ting-the-stage"/>
    <w:p>
      <w:pPr>
        <w:pStyle w:val="Heading2"/>
      </w:pPr>
      <w:r>
        <w:t xml:space="preserve">Setting the Stage</w:t>
      </w:r>
    </w:p>
    <w:p>
      <w:pPr>
        <w:pStyle w:val="FirstParagraph"/>
      </w:pPr>
      <w:r>
        <w:t xml:space="preserve">Vistra heads into its second-quarter print as one of the most closely watched "AI power demand" plays in the market, but shares have been volatile heading into the print — sliding from roughly $169 on July 23 to the</w:t>
      </w:r>
      <w:r>
        <w:t xml:space="preserve"> </w:t>
      </w:r>
      <m:oMath>
        <m:r>
          <m:t>140</m:t>
        </m:r>
        <m:r>
          <m:rPr>
            <m:sty m:val="p"/>
          </m:rPr>
          <m:t>–</m:t>
        </m:r>
      </m:oMath>
      <w:r>
        <w:t xml:space="preserve">148 range by early August as policy headlines around PJM capacity-market reform rattled the merchant power complex. This print arrives at a pivotal moment: Q1 was a record quarter, the balance sheet just crossed the investment-grade threshold at a second agency, and the company has multiple pending catalysts (Cogentrix close, Meta PPA ramp, PJM capacity auction results, and a looming FERC/PJM policy overhaul) that could all get updated commentary on the call.</w:t>
      </w:r>
    </w:p>
    <w:bookmarkEnd w:id="9"/>
    <w:bookmarkStart w:id="10" w:name="what-wall-street-expects"/>
    <w:p>
      <w:pPr>
        <w:pStyle w:val="Heading2"/>
      </w:pPr>
      <w:r>
        <w:t xml:space="preserve">What Wall Street Expects</w:t>
      </w:r>
    </w:p>
    <w:p>
      <w:pPr>
        <w:pStyle w:val="FirstParagraph"/>
      </w:pPr>
      <w:r>
        <w:t xml:space="preserve">Consensus modeling calls for a big year-over-year jump in profitability. Ahead of the print, analysts expect VST to report a profit of $2.43 per share on a diluted basis, up 140.6% from $1.01 per share in the year-ago quarter, with full-year 2026 EPS estimates around $9.53, up 81.2% from $5.26 in fiscal 2025. Investors should note some estimate dispersion across data providers (a couple of sources pegged the quarter closer to</w:t>
      </w:r>
      <w:r>
        <w:t xml:space="preserve"> </w:t>
      </w:r>
      <m:oMath>
        <m:r>
          <m:t>1.5</m:t>
        </m:r>
        <m:r>
          <m:rPr>
            <m:sty m:val="p"/>
          </m:rPr>
          <m:t>–</m:t>
        </m:r>
      </m:oMath>
      <w:r>
        <w:t xml:space="preserve">2.0/share), reflecting how sensitive estimates are to hedge mark-to-market swings — a reminder that GAAP net income can move sharply on unrealized hedging gains/losses versus the "ongoing operations Adjusted EBITDA" metric management guides to. Vistra has beaten Street estimates in three of the last four quarters, missing once.</w:t>
      </w:r>
    </w:p>
    <w:bookmarkEnd w:id="10"/>
    <w:bookmarkStart w:id="11" w:name="q1-2026-recap-the-baseline-going-in"/>
    <w:p>
      <w:pPr>
        <w:pStyle w:val="Heading2"/>
      </w:pPr>
      <w:r>
        <w:t xml:space="preserve">Q1 2026 Recap: The Baseline Going In</w:t>
      </w:r>
    </w:p>
    <w:p>
      <w:pPr>
        <w:pStyle w:val="FirstParagraph"/>
      </w:pPr>
      <w:r>
        <w:t xml:space="preserve">Vistra's first quarter set the tone for the year. The company delivered $1.494 billion in adjusted EBITDA for the first quarter of 2026, up approximately 20% from the same quarter last year and up nearly 85% from Q1 2024, calling it a record result for a calendar first quarter. Results were driven by generation strength — Generation delivered $1.426 billion of adjusted EBITDA in the quarter, benefiting from strong realized revenue across the fleet, higher capacity revenues in PJM and the contribution from the assets acquired in the Lotus acquisition — even as Retail's $68 million of EBITDA reflected one of the mildest first quarters on record in ERCOT. Management reaffirmed full-year guidance and reiterated that fleet reliability was strong through Winter Storm Fern, with the natural gas fleet performing at 97% commercial availability and the nuclear fleet at 100% availability during the storm.</w:t>
      </w:r>
    </w:p>
    <w:p>
      <w:pPr>
        <w:pStyle w:val="BodyText"/>
      </w:pPr>
      <w:r>
        <w:t xml:space="preserve">Management also reaffirmed both the 2026 guidance ranges and the 2027 Adjusted EBITDA midpoint opportunity range, noting that confidence was supported by a comprehensive hedging program, executed long-term PPAs, and nuclear PTC downside protection. As of the Q1 print, the company had hedged approximately 98% of its expected generation volumes for 2026, approximately 89% for 2027, and approximately 65% for 2028 — a highly de-risked position heading into Q2/Q3.</w:t>
      </w:r>
    </w:p>
    <w:p>
      <w:pPr>
        <w:pStyle w:val="BodyText"/>
      </w:pPr>
      <w:r>
        <w:rPr>
          <w:b/>
          <w:bCs/>
        </w:rPr>
        <w:t xml:space="preserve">Key 2026 guidance to track against Q2 results:</w:t>
      </w:r>
    </w:p>
    <w:p>
      <w:pPr>
        <w:pStyle w:val="Compact"/>
        <w:numPr>
          <w:ilvl w:val="0"/>
          <w:numId w:val="1001"/>
        </w:numPr>
      </w:pPr>
      <w:r>
        <w:t xml:space="preserve">Ongoing Operations Adjusted EBITDA:</w:t>
      </w:r>
      <w:r>
        <w:t xml:space="preserve"> </w:t>
      </w:r>
      <m:oMath>
        <m:r>
          <m:t>6.8</m:t>
        </m:r>
        <m:r>
          <m:t>B</m:t>
        </m:r>
        <m:r>
          <m:rPr>
            <m:sty m:val="p"/>
          </m:rPr>
          <m:t>–</m:t>
        </m:r>
      </m:oMath>
      <w:r>
        <w:t xml:space="preserve">7.6B</w:t>
      </w:r>
    </w:p>
    <w:p>
      <w:pPr>
        <w:pStyle w:val="Compact"/>
        <w:numPr>
          <w:ilvl w:val="0"/>
          <w:numId w:val="1001"/>
        </w:numPr>
      </w:pPr>
      <w:r>
        <w:t xml:space="preserve">Ongoing Operations Adjusted FCF before Growth:</w:t>
      </w:r>
      <w:r>
        <w:t xml:space="preserve"> </w:t>
      </w:r>
      <m:oMath>
        <m:r>
          <m:t>3.925</m:t>
        </m:r>
        <m:r>
          <m:t>B</m:t>
        </m:r>
        <m:r>
          <m:rPr>
            <m:sty m:val="p"/>
          </m:rPr>
          <m:t>–</m:t>
        </m:r>
      </m:oMath>
      <w:r>
        <w:t xml:space="preserve">4.725B</w:t>
      </w:r>
    </w:p>
    <w:p>
      <w:pPr>
        <w:pStyle w:val="Compact"/>
        <w:numPr>
          <w:ilvl w:val="0"/>
          <w:numId w:val="1001"/>
        </w:numPr>
      </w:pPr>
      <w:r>
        <w:t xml:space="preserve">2027 Adjusted EBITDA midpoint opportunity:</w:t>
      </w:r>
      <w:r>
        <w:t xml:space="preserve"> </w:t>
      </w:r>
      <m:oMath>
        <m:r>
          <m:t>7.4</m:t>
        </m:r>
        <m:r>
          <m:t>B</m:t>
        </m:r>
        <m:r>
          <m:rPr>
            <m:sty m:val="p"/>
          </m:rPr>
          <m:t>–</m:t>
        </m:r>
      </m:oMath>
      <w:r>
        <w:t xml:space="preserve">7.8B (excludes Cogentrix and Meta PPA upside)</w:t>
      </w:r>
    </w:p>
    <w:p>
      <w:pPr>
        <w:pStyle w:val="FirstParagraph"/>
      </w:pPr>
      <w:r>
        <w:t xml:space="preserve">Importantly, none of these ranges include the pending Cogentrix acquisition or the Meta PPA uplift — the outlook does not include any potential contribution from the pending Cogentrix acquisition nor any uplift from the long-term power purchase agreements with Meta at the PJM nuclear sites, with management planning to update guidance once Cogentrix closes.</w:t>
      </w:r>
    </w:p>
    <w:bookmarkEnd w:id="11"/>
    <w:bookmarkStart w:id="12" w:name="Xf7c3620f1da0d056e0857840c4059ae6651ac8f"/>
    <w:p>
      <w:pPr>
        <w:pStyle w:val="Heading2"/>
      </w:pPr>
      <w:r>
        <w:t xml:space="preserve">What's Changed Since Q1 — The Real Catalysts for This Print</w:t>
      </w:r>
    </w:p>
    <w:p>
      <w:pPr>
        <w:pStyle w:val="FirstParagraph"/>
      </w:pPr>
      <w:r>
        <w:t xml:space="preserve">Several material developments have occurred since the May call that should feature prominently in Q2 commentary:</w:t>
      </w:r>
    </w:p>
    <w:p>
      <w:pPr>
        <w:numPr>
          <w:ilvl w:val="0"/>
          <w:numId w:val="1002"/>
        </w:numPr>
      </w:pPr>
      <w:r>
        <w:rPr>
          <w:b/>
          <w:bCs/>
        </w:rPr>
        <w:t xml:space="preserve">PJM capacity auction results (July 14, 2026):</w:t>
      </w:r>
      <w:r>
        <w:t xml:space="preserve"> </w:t>
      </w:r>
      <w:r>
        <w:t xml:space="preserve">Vistra received its results from the PJM Capacity Auction for planning year 2028/2029, clearing a total of approximately 10,924 megawatts (MW) at a weighted average clearing price of $325.00 per megawatt-day. This is Vistra's single largest near-term revenue-visibility catalyst for its East/PJM segment, though it's worth noting publicly that this was the third consecutive PJM auction to clear at the $325/MW-day settlement price cap, reflecting a persistent capacity shortfall relative to PJM's reliability targets rather than a market-clearing price found through unconstrained bidding.</w:t>
      </w:r>
    </w:p>
    <w:p>
      <w:pPr>
        <w:numPr>
          <w:ilvl w:val="0"/>
          <w:numId w:val="1002"/>
        </w:numPr>
      </w:pPr>
      <w:r>
        <w:rPr>
          <w:b/>
          <w:bCs/>
        </w:rPr>
        <w:t xml:space="preserve">PJM policy overhaul in motion:</w:t>
      </w:r>
      <w:r>
        <w:t xml:space="preserve"> </w:t>
      </w:r>
      <w:r>
        <w:t xml:space="preserve">In the weeks after the auction, PJM proposed a one-time "backstop" reliability auction (targeted for September 2026) to cover a roughly 6.8-GW shortfall, reportedly with its own higher price cap (~$555/MW-day), alongside a separate FERC filing — expected around Aug. 7, the same day as Vistra's earnings — that would let PJM curtail large loads lacking dedicated generation. This is the same backdrop that drove White House/PJM "price-cap" headlines that hit generator stocks (including Vistra, Constellation, and Talen) over the summer. Expect heavy analyst focus on how management frames regulatory/political risk to capacity economics, colocation rules, and the pace of large-load interconnection.</w:t>
      </w:r>
    </w:p>
    <w:p>
      <w:pPr>
        <w:numPr>
          <w:ilvl w:val="0"/>
          <w:numId w:val="1002"/>
        </w:numPr>
      </w:pPr>
      <w:r>
        <w:rPr>
          <w:b/>
          <w:bCs/>
        </w:rPr>
        <w:t xml:space="preserve">Balance sheet actions:</w:t>
      </w:r>
      <w:r>
        <w:t xml:space="preserve"> </w:t>
      </w:r>
      <w:r>
        <w:t xml:space="preserve">Vistra Operations boosted its revolving credit facility to $5.5 billion (announced June 30) and amended/extended its $1.25 billion receivables securitization facility (announced July 16) — both consistent with management's push to maintain ample liquidity and support its now dual investment-grade rating profile following the corporate issuer rating upgrade to investment grade from Fitch Ratings, combined with the earlier S&amp;P upgrade.</w:t>
      </w:r>
    </w:p>
    <w:p>
      <w:pPr>
        <w:numPr>
          <w:ilvl w:val="0"/>
          <w:numId w:val="1002"/>
        </w:numPr>
      </w:pPr>
      <w:r>
        <w:rPr>
          <w:b/>
          <w:bCs/>
        </w:rPr>
        <w:t xml:space="preserve">Cogentrix acquisition status:</w:t>
      </w:r>
      <w:r>
        <w:t xml:space="preserve"> </w:t>
      </w:r>
      <w:r>
        <w:t xml:space="preserve">The ~5,500 MW gas portfolio acquisition (announced January 2026) was still targeted to close in the second half of the year as of the Q1 call, with regulatory approvals (FERC, HSR, state) pending; investors should listen for a firmer closing timeline and any update to the pro forma EBITDA guidance that would follow.</w:t>
      </w:r>
    </w:p>
    <w:bookmarkEnd w:id="12"/>
    <w:bookmarkStart w:id="13" w:name="segment-watch-items"/>
    <w:p>
      <w:pPr>
        <w:pStyle w:val="Heading2"/>
      </w:pPr>
      <w:r>
        <w:t xml:space="preserve">Segment Watch Items</w:t>
      </w:r>
    </w:p>
    <w:p>
      <w:pPr>
        <w:pStyle w:val="Compact"/>
        <w:numPr>
          <w:ilvl w:val="0"/>
          <w:numId w:val="1003"/>
        </w:numPr>
      </w:pPr>
      <w:r>
        <w:rPr>
          <w:b/>
          <w:bCs/>
        </w:rPr>
        <w:t xml:space="preserve">Texas/ERCOT (Generation):</w:t>
      </w:r>
      <w:r>
        <w:t xml:space="preserve"> </w:t>
      </w:r>
      <w:r>
        <w:t xml:space="preserve">Q1 benefited from disciplined commercial optimization despite one of the warmest winters on record; Q2/summer results will be the first real read on how the fleet monetizes peak ERCOT demand this year, especially given management's view that forward curves may still be underpricing 5–6% annual ERCOT load growth through 2030.</w:t>
      </w:r>
    </w:p>
    <w:p>
      <w:pPr>
        <w:pStyle w:val="Compact"/>
        <w:numPr>
          <w:ilvl w:val="0"/>
          <w:numId w:val="1003"/>
        </w:numPr>
      </w:pPr>
      <w:r>
        <w:rPr>
          <w:b/>
          <w:bCs/>
        </w:rPr>
        <w:t xml:space="preserve">East/PJM:</w:t>
      </w:r>
      <w:r>
        <w:t xml:space="preserve"> </w:t>
      </w:r>
      <w:r>
        <w:t xml:space="preserve">The segment posted outsized Q1 growth, benefiting from higher realized capacity prices and Lotus contribution; the July capacity auction clearing at $325/MW-day across Vistra's PJM zones should be a tailwind to forward-year visibility, layered on top of Meta PPA economics beginning to phase in.</w:t>
      </w:r>
    </w:p>
    <w:p>
      <w:pPr>
        <w:pStyle w:val="Compact"/>
        <w:numPr>
          <w:ilvl w:val="0"/>
          <w:numId w:val="1003"/>
        </w:numPr>
      </w:pPr>
      <w:r>
        <w:rPr>
          <w:b/>
          <w:bCs/>
        </w:rPr>
        <w:t xml:space="preserve">Retail:</w:t>
      </w:r>
      <w:r>
        <w:t xml:space="preserve"> </w:t>
      </w:r>
      <w:r>
        <w:t xml:space="preserve">Retail EBITDA fell year-over-year in Q1 on mild weather, and management explicitly flagged that full-year retail performance is expected to moderate from last year's record, while still remaining on track to achieve its medium-term adjusted EBITDA target this year — watch for confirmation of that trajectory.</w:t>
      </w:r>
    </w:p>
    <w:bookmarkEnd w:id="13"/>
    <w:bookmarkStart w:id="14" w:name="capital-allocation"/>
    <w:p>
      <w:pPr>
        <w:pStyle w:val="Heading2"/>
      </w:pPr>
      <w:r>
        <w:t xml:space="preserve">Capital Allocation</w:t>
      </w:r>
    </w:p>
    <w:p>
      <w:pPr>
        <w:pStyle w:val="FirstParagraph"/>
      </w:pPr>
      <w:r>
        <w:t xml:space="preserve">Vistra continues to run an aggressive, opportunistic buyback program. Through the first four months of 2026 the company deployed approximately $525 million on share repurchases, combined with a first-quarter dividend of approximately $75 million, for roughly $600 million already returned to shareholders early in the year. As of early May, the company had executed roughly $6.3 billion in share repurchases since November 2021, reducing shares outstanding by about 30% since November 2021, with about $1.5 billion of authorization remaining, expected to be completed by year-end 2027. Management has guided to more than $10 billion of cumulative cash generation over 2026–2027, split roughly $3 billion to equity holders, $4 billion to growth investments (Cogentrix, Permian gas builds, PJM nuclear uprates, Oak Hill 2), and about $3 billion of additional flexible capital.</w:t>
      </w:r>
    </w:p>
    <w:bookmarkEnd w:id="14"/>
    <w:bookmarkStart w:id="15" w:name="key-risks--debate-points-for-the-call"/>
    <w:p>
      <w:pPr>
        <w:pStyle w:val="Heading2"/>
      </w:pPr>
      <w:r>
        <w:t xml:space="preserve">Key Risks / Debate Points for the Call</w:t>
      </w:r>
    </w:p>
    <w:p>
      <w:pPr>
        <w:pStyle w:val="Compact"/>
        <w:numPr>
          <w:ilvl w:val="0"/>
          <w:numId w:val="1004"/>
        </w:numPr>
      </w:pPr>
      <w:r>
        <w:rPr>
          <w:b/>
          <w:bCs/>
        </w:rPr>
        <w:t xml:space="preserve">Regulatory/political overhang:</w:t>
      </w:r>
      <w:r>
        <w:t xml:space="preserve"> </w:t>
      </w:r>
      <w:r>
        <w:t xml:space="preserve">The PJM price-cap and backstop-auction debate is the dominant swing factor for sentiment right now; any hawkish or dovish tone from management on FERC's colocation order, connect-and-manage rules, or the September backstop auction could move the stock more than the quarter's actual numbers.</w:t>
      </w:r>
    </w:p>
    <w:p>
      <w:pPr>
        <w:pStyle w:val="Compact"/>
        <w:numPr>
          <w:ilvl w:val="0"/>
          <w:numId w:val="1004"/>
        </w:numPr>
      </w:pPr>
      <w:r>
        <w:rPr>
          <w:b/>
          <w:bCs/>
        </w:rPr>
        <w:t xml:space="preserve">ERCOT forward curve skepticism:</w:t>
      </w:r>
      <w:r>
        <w:t xml:space="preserve"> </w:t>
      </w:r>
      <w:r>
        <w:t xml:space="preserve">Management has repeatedly pushed back on both bullish (400+ GW interconnection queue) and bearish (soft forward curves) readings of ERCOT load growth, arguing the market is mispricing durable 5–6% compounding growth; listen for updated commentary given summer heat and pricing data since the Q1 call.</w:t>
      </w:r>
    </w:p>
    <w:p>
      <w:pPr>
        <w:pStyle w:val="Compact"/>
        <w:numPr>
          <w:ilvl w:val="0"/>
          <w:numId w:val="1004"/>
        </w:numPr>
      </w:pPr>
      <w:r>
        <w:rPr>
          <w:b/>
          <w:bCs/>
        </w:rPr>
        <w:t xml:space="preserve">Weather variance:</w:t>
      </w:r>
      <w:r>
        <w:t xml:space="preserve"> </w:t>
      </w:r>
      <w:r>
        <w:t xml:space="preserve">The extreme mild-to-volatile swings seen in Q1 (record-warm start, then Winter Storm Fern) underscore that quarterly results can diverge meaningfully from run-rate expectations even with a highly hedged book.</w:t>
      </w:r>
    </w:p>
    <w:p>
      <w:pPr>
        <w:pStyle w:val="Compact"/>
        <w:numPr>
          <w:ilvl w:val="0"/>
          <w:numId w:val="1004"/>
        </w:numPr>
      </w:pPr>
      <w:r>
        <w:rPr>
          <w:b/>
          <w:bCs/>
        </w:rPr>
        <w:t xml:space="preserve">Deal execution risk:</w:t>
      </w:r>
      <w:r>
        <w:t xml:space="preserve"> </w:t>
      </w:r>
      <w:r>
        <w:t xml:space="preserve">Cogentrix close timing and any incremental financing/leverage implications, plus continued progress converting nuclear/gas site conversations (Meta-style PPAs) into signed contracts.</w:t>
      </w:r>
    </w:p>
    <w:bookmarkEnd w:id="15"/>
    <w:bookmarkStart w:id="16" w:name="bottom-line"/>
    <w:p>
      <w:pPr>
        <w:pStyle w:val="Heading2"/>
      </w:pPr>
      <w:r>
        <w:t xml:space="preserve">Bottom Line</w:t>
      </w:r>
    </w:p>
    <w:p>
      <w:pPr>
        <w:pStyle w:val="FirstParagraph"/>
      </w:pPr>
      <w:r>
        <w:t xml:space="preserve">Vistra goes into Thursday's/Friday's print with reaffirmed guidance, a de-risked hedge book, a newly minted dual investment-grade rating, record Q1 results, and multiple unrecognized upside levers (Cogentrix, Meta PPA, PJM auction clears) still excluded from guidance — a constructive fundamental setup. The swing factor for the stock's reaction is less likely to be the reported quarter itself (which should show sharp EBITDA/EPS growth) and more likely to be management's tone on the fast-moving PJM regulatory environment, the September backstop capacity auction, and any timeline update on Cogentrix — all of which will shape how the market values Vistra's multi-year earnings power heading into 2027.</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2026-08-07T00:11:11Z</dcterms:created>
  <dcterms:modified xsi:type="dcterms:W3CDTF">2026-08-07T00:11:11Z</dcterms:modified>
</cp:coreProperties>
</file>

<file path=docProps/custom.xml><?xml version="1.0" encoding="utf-8"?>
<Properties xmlns="http://schemas.openxmlformats.org/officeDocument/2006/custom-properties" xmlns:vt="http://schemas.openxmlformats.org/officeDocument/2006/docPropsVTypes"/>
</file>