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37636d1361ad5e5a39fbb464ce12d47f611678"/>
    <w:p>
      <w:pPr>
        <w:pStyle w:val="Heading1"/>
      </w:pPr>
      <w:r>
        <w:t xml:space="preserve">Vistra (NYSE: VST) — Q2 2026 Earnings Preview</w:t>
      </w:r>
    </w:p>
    <w:p>
      <w:pPr>
        <w:pStyle w:val="FirstParagraph"/>
      </w:pPr>
      <w:r>
        <w:rPr>
          <w:b/>
          <w:bCs/>
        </w:rPr>
        <w:t xml:space="preserve">Report:</w:t>
      </w:r>
      <w:r>
        <w:t xml:space="preserve"> </w:t>
      </w:r>
      <w:r>
        <w:t xml:space="preserve">Friday, August 7, 2026, before the market opens</w:t>
      </w:r>
      <w:r>
        <w:br/>
      </w:r>
      <w:r>
        <w:rPr>
          <w:b/>
          <w:bCs/>
        </w:rPr>
        <w:t xml:space="preserve">Conference call:</w:t>
      </w:r>
      <w:r>
        <w:t xml:space="preserve"> </w:t>
      </w:r>
      <w:r>
        <w:t xml:space="preserve">10:00 a.m. ET</w:t>
      </w:r>
      <w:r>
        <w:br/>
      </w:r>
      <w:r>
        <w:rPr>
          <w:b/>
          <w:bCs/>
        </w:rPr>
        <w:t xml:space="preserve">Share price:</w:t>
      </w:r>
      <w:r>
        <w:t xml:space="preserve"> </w:t>
      </w:r>
      <w:r>
        <w:t xml:space="preserve">$141.41 as of August 6</w:t>
      </w:r>
    </w:p>
    <w:bookmarkStart w:id="9" w:name="investment-setup"/>
    <w:p>
      <w:pPr>
        <w:pStyle w:val="Heading2"/>
      </w:pPr>
      <w:r>
        <w:t xml:space="preserve">Investment setup</w:t>
      </w:r>
    </w:p>
    <w:p>
      <w:pPr>
        <w:pStyle w:val="FirstParagraph"/>
      </w:pPr>
      <w:r>
        <w:t xml:space="preserve">Vistra enters the quarter with a relatively favorable operating backdrop but a more demanding strategic checklist. The company produced record first-quarter adjusted EBITDA, Texas experienced an unusually warm spring, and PJM capacity economics remain strong. At the same time, investors are waiting for tangible progress on the Cogentrix acquisition, incremental large-load contracts, and the conversion of Vistra’s growth pipeline into updated earnings guidance.</w:t>
      </w:r>
    </w:p>
    <w:p>
      <w:pPr>
        <w:pStyle w:val="BodyText"/>
      </w:pPr>
      <w:r>
        <w:t xml:space="preserve">The stock has fallen approximately</w:t>
      </w:r>
      <w:r>
        <w:t xml:space="preserve"> </w:t>
      </w:r>
      <w:r>
        <w:rPr>
          <w:b/>
          <w:bCs/>
        </w:rPr>
        <w:t xml:space="preserve">12% year to date</w:t>
      </w:r>
      <w:r>
        <w:t xml:space="preserve">, versus a roughly 13% gain for the S&amp;P 500, and is about 16% below its July 23 close. That lowers the immediate valuation hurdle, but it also signals skepticism around power-market curves, regulatory uncertainty and the timing of data-center-related earnings.</w:t>
      </w:r>
    </w:p>
    <w:p>
      <w:pPr>
        <w:pStyle w:val="BodyText"/>
      </w:pPr>
      <w:r>
        <w:rPr>
          <w:b/>
          <w:bCs/>
        </w:rPr>
        <w:t xml:space="preserve">My base case:</w:t>
      </w:r>
      <w:r>
        <w:t xml:space="preserve"> </w:t>
      </w:r>
      <w:r>
        <w:t xml:space="preserve">a solid quarter and reaffirmed organic guidance, with the stock reaction driven more by Cogentrix, contracting and 2027–2029 earnings commentary than by reported EPS.</w:t>
      </w:r>
    </w:p>
    <w:p>
      <w:r>
        <w:pict>
          <v:rect style="width:0;height:1.5pt" o:hralign="center" o:hrstd="t" o:hr="t"/>
        </w:pict>
      </w:r>
    </w:p>
    <w:bookmarkEnd w:id="9"/>
    <w:bookmarkStart w:id="13" w:name="key-figures-going-into-the-report"/>
    <w:p>
      <w:pPr>
        <w:pStyle w:val="Heading2"/>
      </w:pPr>
      <w:r>
        <w:t xml:space="preserve">Key figures going into the report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reference point</w:t>
            </w:r>
          </w:p>
        </w:tc>
      </w:tr>
      <w:tr>
        <w:tc>
          <w:tcPr/>
          <w:p>
            <w:pPr>
              <w:pStyle w:val="Compact"/>
            </w:pPr>
            <w:r>
              <w:t xml:space="preserve">2026 adjusted EBITDA guidance</w:t>
            </w:r>
          </w:p>
        </w:tc>
        <w:tc>
          <w:tcPr/>
          <w:p>
            <w:pPr>
              <w:pStyle w:val="Compact"/>
              <w:jc w:val="right"/>
            </w:pPr>
            <m:oMath>
              <m:r>
                <m:t>6.8</m:t>
              </m:r>
              <m:r>
                <m:t>B</m:t>
              </m:r>
              <m:r>
                <m:rPr>
                  <m:sty m:val="p"/>
                </m:rPr>
                <m:t>–</m:t>
              </m:r>
            </m:oMath>
            <w:r>
              <w:rPr>
                <w:b/>
                <w:bCs/>
              </w:rPr>
              <w:t xml:space="preserve">7.6B</w:t>
            </w:r>
          </w:p>
        </w:tc>
      </w:tr>
      <w:tr>
        <w:tc>
          <w:tcPr/>
          <w:p>
            <w:pPr>
              <w:pStyle w:val="Compact"/>
            </w:pPr>
            <w:r>
              <w:t xml:space="preserve">2026 adjusted FCF before growth guidance</w:t>
            </w:r>
          </w:p>
        </w:tc>
        <w:tc>
          <w:tcPr/>
          <w:p>
            <w:pPr>
              <w:pStyle w:val="Compact"/>
              <w:jc w:val="right"/>
            </w:pPr>
            <m:oMath>
              <m:r>
                <m:t>3.925</m:t>
              </m:r>
              <m:r>
                <m:t>B</m:t>
              </m:r>
              <m:r>
                <m:rPr>
                  <m:sty m:val="p"/>
                </m:rPr>
                <m:t>–</m:t>
              </m:r>
            </m:oMath>
            <w:r>
              <w:rPr>
                <w:b/>
                <w:bCs/>
              </w:rPr>
              <w:t xml:space="preserve">4.725B</w:t>
            </w:r>
          </w:p>
        </w:tc>
      </w:tr>
      <w:tr>
        <w:tc>
          <w:tcPr/>
          <w:p>
            <w:pPr>
              <w:pStyle w:val="Compact"/>
            </w:pPr>
            <w:r>
              <w:t xml:space="preserve">2027 adjusted EBITDA opportunity</w:t>
            </w:r>
          </w:p>
        </w:tc>
        <w:tc>
          <w:tcPr/>
          <w:p>
            <w:pPr>
              <w:pStyle w:val="Compact"/>
              <w:jc w:val="right"/>
            </w:pPr>
            <m:oMath>
              <m:r>
                <m:t>7.4</m:t>
              </m:r>
              <m:r>
                <m:t>B</m:t>
              </m:r>
              <m:r>
                <m:rPr>
                  <m:sty m:val="p"/>
                </m:rPr>
                <m:t>–</m:t>
              </m:r>
            </m:oMath>
            <w:r>
              <w:rPr>
                <w:b/>
                <w:bCs/>
              </w:rPr>
              <w:t xml:space="preserve">7.8B</w:t>
            </w:r>
          </w:p>
        </w:tc>
      </w:tr>
      <w:tr>
        <w:tc>
          <w:tcPr/>
          <w:p>
            <w:pPr>
              <w:pStyle w:val="Compact"/>
            </w:pPr>
            <w:r>
              <w:t xml:space="preserve">Q1 2026 adjusted EBITDA</w:t>
            </w:r>
          </w:p>
        </w:tc>
        <w:tc>
          <w:tcPr/>
          <w:p>
            <w:pPr>
              <w:pStyle w:val="Compact"/>
              <w:jc w:val="right"/>
            </w:pPr>
            <w:r>
              <w:rPr>
                <w:b/>
                <w:bCs/>
              </w:rPr>
              <w:t xml:space="preserve">$1.494B</w:t>
            </w:r>
          </w:p>
        </w:tc>
      </w:tr>
      <w:tr>
        <w:tc>
          <w:tcPr/>
          <w:p>
            <w:pPr>
              <w:pStyle w:val="Compact"/>
            </w:pPr>
            <w:r>
              <w:t xml:space="preserve">Q2 2025 adjusted EBITDA</w:t>
            </w:r>
          </w:p>
        </w:tc>
        <w:tc>
          <w:tcPr/>
          <w:p>
            <w:pPr>
              <w:pStyle w:val="Compact"/>
              <w:jc w:val="right"/>
            </w:pPr>
            <w:r>
              <w:rPr>
                <w:b/>
                <w:bCs/>
              </w:rPr>
              <w:t xml:space="preserve">$1.349B</w:t>
            </w:r>
          </w:p>
        </w:tc>
      </w:tr>
      <w:tr>
        <w:tc>
          <w:tcPr/>
          <w:p>
            <w:pPr>
              <w:pStyle w:val="Compact"/>
            </w:pPr>
            <w:r>
              <w:t xml:space="preserve">2026 generation hedged as of May 1</w:t>
            </w:r>
          </w:p>
        </w:tc>
        <w:tc>
          <w:tcPr/>
          <w:p>
            <w:pPr>
              <w:pStyle w:val="Compact"/>
              <w:jc w:val="right"/>
            </w:pPr>
            <w:r>
              <w:rPr>
                <w:b/>
                <w:bCs/>
              </w:rPr>
              <w:t xml:space="preserve">98%</w:t>
            </w:r>
          </w:p>
        </w:tc>
      </w:tr>
      <w:tr>
        <w:tc>
          <w:tcPr/>
          <w:p>
            <w:pPr>
              <w:pStyle w:val="Compact"/>
            </w:pPr>
            <w:r>
              <w:t xml:space="preserve">2027 generation hedged as of May 1</w:t>
            </w:r>
          </w:p>
        </w:tc>
        <w:tc>
          <w:tcPr/>
          <w:p>
            <w:pPr>
              <w:pStyle w:val="Compact"/>
              <w:jc w:val="right"/>
            </w:pPr>
            <w:r>
              <w:rPr>
                <w:b/>
                <w:bCs/>
              </w:rPr>
              <w:t xml:space="preserve">89%</w:t>
            </w:r>
          </w:p>
        </w:tc>
      </w:tr>
      <w:tr>
        <w:tc>
          <w:tcPr/>
          <w:p>
            <w:pPr>
              <w:pStyle w:val="Compact"/>
            </w:pPr>
            <w:r>
              <w:t xml:space="preserve">Remaining repurchase authorization as of May 1</w:t>
            </w:r>
          </w:p>
        </w:tc>
        <w:tc>
          <w:tcPr/>
          <w:p>
            <w:pPr>
              <w:pStyle w:val="Compact"/>
              <w:jc w:val="right"/>
            </w:pPr>
            <w:r>
              <w:rPr>
                <w:b/>
                <w:bCs/>
              </w:rPr>
              <w:t xml:space="preserve">~$1.5B</w:t>
            </w:r>
          </w:p>
        </w:tc>
      </w:tr>
    </w:tbl>
    <w:p>
      <w:pPr>
        <w:pStyle w:val="BodyText"/>
      </w:pPr>
      <w:r>
        <w:t xml:space="preserve">The existing guidance excludes Cogentrix and the Meta PPAs. Vistra previously said it expected to update guidance after Cogentrix closes. (</w:t>
      </w:r>
      <w:hyperlink r:id="rId10">
        <w:r>
          <w:rPr>
            <w:rStyle w:val="Hyperlink"/>
          </w:rPr>
          <w:t xml:space="preserve">investor.vistracorp.com</w:t>
        </w:r>
      </w:hyperlink>
      <w:r>
        <w:t xml:space="preserve">)</w:t>
      </w:r>
    </w:p>
    <w:p>
      <w:pPr>
        <w:pStyle w:val="BodyText"/>
      </w:pPr>
      <w:r>
        <w:t xml:space="preserve">Published EPS estimates vary substantially by data provider—from roughly</w:t>
      </w:r>
      <w:r>
        <w:t xml:space="preserve"> </w:t>
      </w:r>
      <w:r>
        <w:rPr>
          <w:b/>
          <w:bCs/>
        </w:rPr>
        <w:t xml:space="preserve">$2.00 to</w:t>
      </w:r>
      <w:r>
        <w:rPr>
          <w:b/>
          <w:bCs/>
        </w:rPr>
        <w:t xml:space="preserve"> </w:t>
      </w:r>
      <m:oMath>
        <m:r>
          <m:t>2.40</m:t>
        </m:r>
        <m:r>
          <m:t>p</m:t>
        </m:r>
        <m:r>
          <m:t>e</m:t>
        </m:r>
        <m:r>
          <m:t>r</m:t>
        </m:r>
        <m:r>
          <m:t>s</m:t>
        </m:r>
        <m:r>
          <m:t>h</m:t>
        </m:r>
        <m:r>
          <m:t>a</m:t>
        </m:r>
        <m:r>
          <m:t>r</m:t>
        </m:r>
        <m:r>
          <m:t>e</m:t>
        </m:r>
        <m:r>
          <m:rPr>
            <m:sty m:val="p"/>
          </m:rPr>
          <m:t>*</m:t>
        </m:r>
        <m:r>
          <m:rPr>
            <m:sty m:val="p"/>
          </m:rPr>
          <m:t>*</m:t>
        </m:r>
        <m:r>
          <m:rPr>
            <m:sty m:val="p"/>
          </m:rPr>
          <m:t>—</m:t>
        </m:r>
        <m:r>
          <m:t>a</m:t>
        </m:r>
        <m:r>
          <m:t>n</m:t>
        </m:r>
        <m:r>
          <m:t>d</m:t>
        </m:r>
        <m:r>
          <m:t>r</m:t>
        </m:r>
        <m:r>
          <m:t>e</m:t>
        </m:r>
        <m:r>
          <m:t>v</m:t>
        </m:r>
        <m:r>
          <m:t>e</m:t>
        </m:r>
        <m:r>
          <m:t>n</m:t>
        </m:r>
        <m:r>
          <m:t>u</m:t>
        </m:r>
        <m:r>
          <m:t>e</m:t>
        </m:r>
        <m:r>
          <m:t>e</m:t>
        </m:r>
        <m:r>
          <m:t>s</m:t>
        </m:r>
        <m:r>
          <m:t>t</m:t>
        </m:r>
        <m:r>
          <m:t>i</m:t>
        </m:r>
        <m:r>
          <m:t>m</m:t>
        </m:r>
        <m:r>
          <m:t>a</m:t>
        </m:r>
        <m:r>
          <m:t>t</m:t>
        </m:r>
        <m:r>
          <m:t>e</m:t>
        </m:r>
        <m:r>
          <m:t>s</m:t>
        </m:r>
        <m:r>
          <m:t>r</m:t>
        </m:r>
        <m:r>
          <m:t>a</m:t>
        </m:r>
        <m:r>
          <m:t>n</m:t>
        </m:r>
        <m:r>
          <m:t>g</m:t>
        </m:r>
        <m:r>
          <m:t>e</m:t>
        </m:r>
        <m:r>
          <m:t>f</m:t>
        </m:r>
        <m:r>
          <m:t>r</m:t>
        </m:r>
        <m:r>
          <m:t>o</m:t>
        </m:r>
        <m:r>
          <m:t>m</m:t>
        </m:r>
        <m:r>
          <m:t>a</m:t>
        </m:r>
        <m:r>
          <m:t>p</m:t>
        </m:r>
        <m:r>
          <m:t>p</m:t>
        </m:r>
        <m:r>
          <m:t>r</m:t>
        </m:r>
        <m:r>
          <m:t>o</m:t>
        </m:r>
        <m:r>
          <m:t>x</m:t>
        </m:r>
        <m:r>
          <m:t>i</m:t>
        </m:r>
        <m:r>
          <m:t>m</m:t>
        </m:r>
        <m:r>
          <m:t>a</m:t>
        </m:r>
        <m:r>
          <m:t>t</m:t>
        </m:r>
        <m:r>
          <m:t>e</m:t>
        </m:r>
        <m:r>
          <m:t>l</m:t>
        </m:r>
        <m:r>
          <m:t>y</m:t>
        </m:r>
        <m:r>
          <m:rPr>
            <m:sty m:val="p"/>
          </m:rPr>
          <m:t>*</m:t>
        </m:r>
        <m:r>
          <m:rPr>
            <m:sty m:val="p"/>
          </m:rPr>
          <m:t>*</m:t>
        </m:r>
      </m:oMath>
      <w:r>
        <w:rPr>
          <w:b/>
          <w:bCs/>
        </w:rPr>
        <w:t xml:space="preserve">5.7 billion to $6.4 billion</w:t>
      </w:r>
      <w:r>
        <w:t xml:space="preserve">. That dispersion reinforces why adjusted EBITDA, cash flow and guidance are more useful than a narrow EPS comparison for this company. (</w:t>
      </w:r>
      <w:hyperlink r:id="rId11">
        <w:r>
          <w:rPr>
            <w:rStyle w:val="Hyperlink"/>
          </w:rPr>
          <w:t xml:space="preserve">tipranks.com</w:t>
        </w:r>
      </w:hyperlink>
      <w:r>
        <w:t xml:space="preserve">)</w:t>
      </w:r>
    </w:p>
    <w:bookmarkStart w:id="12" w:name="my-operating-expectation"/>
    <w:p>
      <w:pPr>
        <w:pStyle w:val="Heading3"/>
      </w:pPr>
      <w:r>
        <w:t xml:space="preserve">My operating expectation</w:t>
      </w:r>
    </w:p>
    <w:p>
      <w:pPr>
        <w:pStyle w:val="FirstParagraph"/>
      </w:pPr>
      <w:r>
        <w:t xml:space="preserve">I would frame a reasonable Q2 adjusted EBITDA outcome at approximately</w:t>
      </w:r>
      <w:r>
        <w:t xml:space="preserve"> </w:t>
      </w:r>
      <m:oMath>
        <m:r>
          <m:t>1.5</m:t>
        </m:r>
        <m:r>
          <m:t>b</m:t>
        </m:r>
        <m:r>
          <m:t>i</m:t>
        </m:r>
        <m:r>
          <m:t>l</m:t>
        </m:r>
        <m:r>
          <m:t>l</m:t>
        </m:r>
        <m:r>
          <m:t>i</m:t>
        </m:r>
        <m:r>
          <m:t>o</m:t>
        </m:r>
        <m:r>
          <m:t>n</m:t>
        </m:r>
        <m:r>
          <m:rPr>
            <m:sty m:val="p"/>
          </m:rPr>
          <m:t>–</m:t>
        </m:r>
      </m:oMath>
      <w:r>
        <w:rPr>
          <w:b/>
          <w:bCs/>
        </w:rPr>
        <w:t xml:space="preserve">1.7 billion</w:t>
      </w:r>
      <w:r>
        <w:t xml:space="preserve">, compared with $1.349 billion last year. That is not a published consensus estimate; it reflects:</w:t>
      </w:r>
    </w:p>
    <w:p>
      <w:pPr>
        <w:pStyle w:val="Compact"/>
        <w:numPr>
          <w:ilvl w:val="0"/>
          <w:numId w:val="1001"/>
        </w:numPr>
      </w:pPr>
      <w:r>
        <w:t xml:space="preserve">A full-quarter contribution from the Lotus gas assets acquired in November 2025.</w:t>
      </w:r>
    </w:p>
    <w:p>
      <w:pPr>
        <w:pStyle w:val="Compact"/>
        <w:numPr>
          <w:ilvl w:val="0"/>
          <w:numId w:val="1001"/>
        </w:numPr>
      </w:pPr>
      <w:r>
        <w:t xml:space="preserve">Higher realized PJM capacity revenue.</w:t>
      </w:r>
    </w:p>
    <w:p>
      <w:pPr>
        <w:pStyle w:val="Compact"/>
        <w:numPr>
          <w:ilvl w:val="0"/>
          <w:numId w:val="1001"/>
        </w:numPr>
      </w:pPr>
      <w:r>
        <w:t xml:space="preserve">Better Texas weather and electricity demand than in the unusually mild first quarter.</w:t>
      </w:r>
    </w:p>
    <w:p>
      <w:pPr>
        <w:pStyle w:val="Compact"/>
        <w:numPr>
          <w:ilvl w:val="0"/>
          <w:numId w:val="1001"/>
        </w:numPr>
      </w:pPr>
      <w:r>
        <w:t xml:space="preserve">Some offset from scheduled outages, higher operating costs and Vistra’s extensive hedging.</w:t>
      </w:r>
    </w:p>
    <w:p>
      <w:r>
        <w:pict>
          <v:rect style="width:0;height:1.5pt" o:hralign="center" o:hrstd="t" o:hr="t"/>
        </w:pict>
      </w:r>
    </w:p>
    <w:bookmarkEnd w:id="12"/>
    <w:bookmarkEnd w:id="13"/>
    <w:bookmarkStart w:id="24" w:name="what-matters-most"/>
    <w:p>
      <w:pPr>
        <w:pStyle w:val="Heading2"/>
      </w:pPr>
      <w:r>
        <w:t xml:space="preserve">What matters most</w:t>
      </w:r>
    </w:p>
    <w:bookmarkStart w:id="14" w:name="Xeba5f768afb6aa2114bff3c9b5b41cb63dd8de2"/>
    <w:p>
      <w:pPr>
        <w:pStyle w:val="Heading3"/>
      </w:pPr>
      <w:r>
        <w:t xml:space="preserve">1. Can management strengthen the 2026 outlook?</w:t>
      </w:r>
    </w:p>
    <w:p>
      <w:pPr>
        <w:pStyle w:val="FirstParagraph"/>
      </w:pPr>
      <w:r>
        <w:t xml:space="preserve">Vistra’s Q1 adjusted EBITDA increased 20% year over year to $1.494 billion, driven by stronger realized energy and capacity prices and the Lotus assets, while mild Texas weather hurt retail. Management nevertheless left its wide</w:t>
      </w:r>
      <w:r>
        <w:t xml:space="preserve"> </w:t>
      </w:r>
      <m:oMath>
        <m:r>
          <m:t>6.8</m:t>
        </m:r>
        <m:r>
          <m:t>b</m:t>
        </m:r>
        <m:r>
          <m:t>i</m:t>
        </m:r>
        <m:r>
          <m:t>l</m:t>
        </m:r>
        <m:r>
          <m:t>l</m:t>
        </m:r>
        <m:r>
          <m:t>i</m:t>
        </m:r>
        <m:r>
          <m:t>o</m:t>
        </m:r>
        <m:r>
          <m:t>n</m:t>
        </m:r>
        <m:r>
          <m:rPr>
            <m:sty m:val="p"/>
          </m:rPr>
          <m:t>–</m:t>
        </m:r>
      </m:oMath>
      <w:r>
        <w:t xml:space="preserve">7.6 billion full-year range unchanged. (</w:t>
      </w:r>
      <w:hyperlink r:id="rId10">
        <w:r>
          <w:rPr>
            <w:rStyle w:val="Hyperlink"/>
          </w:rPr>
          <w:t xml:space="preserve">investor.vistracorp.com</w:t>
        </w:r>
      </w:hyperlink>
      <w:r>
        <w:t xml:space="preserve">)</w:t>
      </w:r>
    </w:p>
    <w:p>
      <w:pPr>
        <w:pStyle w:val="BodyText"/>
      </w:pPr>
      <w:r>
        <w:t xml:space="preserve">A simple reaffirmation should be expected. More important will be whether management:</w:t>
      </w:r>
    </w:p>
    <w:p>
      <w:pPr>
        <w:pStyle w:val="Compact"/>
        <w:numPr>
          <w:ilvl w:val="0"/>
          <w:numId w:val="1002"/>
        </w:numPr>
      </w:pPr>
      <w:r>
        <w:t xml:space="preserve">Indicates results are tracking toward the</w:t>
      </w:r>
      <w:r>
        <w:t xml:space="preserve"> </w:t>
      </w:r>
      <w:r>
        <w:rPr>
          <w:b/>
          <w:bCs/>
        </w:rPr>
        <w:t xml:space="preserve">upper half</w:t>
      </w:r>
      <w:r>
        <w:t xml:space="preserve"> </w:t>
      </w:r>
      <w:r>
        <w:t xml:space="preserve">of guidance.</w:t>
      </w:r>
    </w:p>
    <w:p>
      <w:pPr>
        <w:pStyle w:val="Compact"/>
        <w:numPr>
          <w:ilvl w:val="0"/>
          <w:numId w:val="1002"/>
        </w:numPr>
      </w:pPr>
      <w:r>
        <w:t xml:space="preserve">Narrows the range.</w:t>
      </w:r>
    </w:p>
    <w:p>
      <w:pPr>
        <w:pStyle w:val="Compact"/>
        <w:numPr>
          <w:ilvl w:val="0"/>
          <w:numId w:val="1002"/>
        </w:numPr>
      </w:pPr>
      <w:r>
        <w:t xml:space="preserve">Changes the expected balance between first-half and second-half EBITDA.</w:t>
      </w:r>
    </w:p>
    <w:p>
      <w:pPr>
        <w:pStyle w:val="Compact"/>
        <w:numPr>
          <w:ilvl w:val="0"/>
          <w:numId w:val="1002"/>
        </w:numPr>
      </w:pPr>
      <w:r>
        <w:t xml:space="preserve">Updates hedge percentages and realized pricing for 2027–2028.</w:t>
      </w:r>
    </w:p>
    <w:p>
      <w:pPr>
        <w:pStyle w:val="Compact"/>
        <w:numPr>
          <w:ilvl w:val="0"/>
          <w:numId w:val="1002"/>
        </w:numPr>
      </w:pPr>
      <w:r>
        <w:t xml:space="preserve">Incorporates any early Meta contribution beginning late in 2026.</w:t>
      </w:r>
    </w:p>
    <w:p>
      <w:pPr>
        <w:pStyle w:val="FirstParagraph"/>
      </w:pPr>
      <w:r>
        <w:t xml:space="preserve">Because 2026 generation was already 98% hedged as of May 1, reported results should be relatively insulated from short-term commodity-price movements. The downside is that unusually strong spot markets do not translate one-for-one into earnings upside.</w:t>
      </w:r>
    </w:p>
    <w:p>
      <w:pPr>
        <w:pStyle w:val="BodyText"/>
      </w:pPr>
      <w:r>
        <w:rPr>
          <w:b/>
          <w:bCs/>
        </w:rPr>
        <w:t xml:space="preserve">Investor takeaway:</w:t>
      </w:r>
      <w:r>
        <w:t xml:space="preserve"> </w:t>
      </w:r>
      <w:r>
        <w:t xml:space="preserve">a narrow EPS beat without stronger full-year commentary probably will not be enough. Evidence that the organic business is moving toward the upper half of EBITDA and FCF guidance would be more meaningful.</w:t>
      </w:r>
    </w:p>
    <w:p>
      <w:r>
        <w:pict>
          <v:rect style="width:0;height:1.5pt" o:hralign="center" o:hrstd="t" o:hr="t"/>
        </w:pict>
      </w:r>
    </w:p>
    <w:bookmarkEnd w:id="14"/>
    <w:bookmarkStart w:id="16" w:name="X2ac15c05635492778888cc5c3c87414088d5430"/>
    <w:p>
      <w:pPr>
        <w:pStyle w:val="Heading3"/>
      </w:pPr>
      <w:r>
        <w:t xml:space="preserve">2. Texas weather should help—but the integrated model matters</w:t>
      </w:r>
    </w:p>
    <w:p>
      <w:pPr>
        <w:pStyle w:val="FirstParagraph"/>
      </w:pPr>
      <w:r>
        <w:t xml:space="preserve">Texas recorded its warmest spring in NOAA’s 132-year record. ERCOT also set new April and June demand records, including 82,772 MW on June 18. (</w:t>
      </w:r>
      <w:hyperlink r:id="rId15">
        <w:r>
          <w:rPr>
            <w:rStyle w:val="Hyperlink"/>
          </w:rPr>
          <w:t xml:space="preserve">ercot.com</w:t>
        </w:r>
      </w:hyperlink>
      <w:r>
        <w:t xml:space="preserve">)</w:t>
      </w:r>
    </w:p>
    <w:p>
      <w:pPr>
        <w:pStyle w:val="BodyText"/>
      </w:pPr>
      <w:r>
        <w:t xml:space="preserve">That should be supportive for Vistra’s retail electricity volumes and generation utilization. The comparison is especially notable because retail EBITDA fell to just $68 million in Q1, versus $184 million a year earlier, due largely to mild Texas weather.</w:t>
      </w:r>
    </w:p>
    <w:p>
      <w:pPr>
        <w:pStyle w:val="BodyText"/>
      </w:pPr>
      <w:r>
        <w:t xml:space="preserve">However, investors should not assume that higher demand automatically produces exceptional wholesale earnings:</w:t>
      </w:r>
    </w:p>
    <w:p>
      <w:pPr>
        <w:pStyle w:val="Compact"/>
        <w:numPr>
          <w:ilvl w:val="0"/>
          <w:numId w:val="1003"/>
        </w:numPr>
      </w:pPr>
      <w:r>
        <w:t xml:space="preserve">Vistra is heavily hedged.</w:t>
      </w:r>
    </w:p>
    <w:p>
      <w:pPr>
        <w:pStyle w:val="Compact"/>
        <w:numPr>
          <w:ilvl w:val="0"/>
          <w:numId w:val="1003"/>
        </w:numPr>
      </w:pPr>
      <w:r>
        <w:t xml:space="preserve">Solar and battery additions can suppress daytime scarcity pricing.</w:t>
      </w:r>
    </w:p>
    <w:p>
      <w:pPr>
        <w:pStyle w:val="Compact"/>
        <w:numPr>
          <w:ilvl w:val="0"/>
          <w:numId w:val="1003"/>
        </w:numPr>
      </w:pPr>
      <w:r>
        <w:t xml:space="preserve">Retail and generation can partially offset one another.</w:t>
      </w:r>
    </w:p>
    <w:p>
      <w:pPr>
        <w:pStyle w:val="Compact"/>
        <w:numPr>
          <w:ilvl w:val="0"/>
          <w:numId w:val="1003"/>
        </w:numPr>
      </w:pPr>
      <w:r>
        <w:t xml:space="preserve">Outage timing and fleet availability may matter more than average weather.</w:t>
      </w:r>
    </w:p>
    <w:p>
      <w:pPr>
        <w:pStyle w:val="FirstParagraph"/>
      </w:pPr>
      <w:r>
        <w:t xml:space="preserve">The main operating questions are therefore:</w:t>
      </w:r>
    </w:p>
    <w:p>
      <w:pPr>
        <w:pStyle w:val="Compact"/>
        <w:numPr>
          <w:ilvl w:val="0"/>
          <w:numId w:val="1004"/>
        </w:numPr>
      </w:pPr>
      <w:r>
        <w:t xml:space="preserve">Did retail EBITDA normalize from Q1?</w:t>
      </w:r>
    </w:p>
    <w:p>
      <w:pPr>
        <w:pStyle w:val="Compact"/>
        <w:numPr>
          <w:ilvl w:val="0"/>
          <w:numId w:val="1004"/>
        </w:numPr>
      </w:pPr>
      <w:r>
        <w:t xml:space="preserve">Did Texas generation remain highly available during higher-load periods?</w:t>
      </w:r>
    </w:p>
    <w:p>
      <w:pPr>
        <w:pStyle w:val="Compact"/>
        <w:numPr>
          <w:ilvl w:val="0"/>
          <w:numId w:val="1004"/>
        </w:numPr>
      </w:pPr>
      <w:r>
        <w:t xml:space="preserve">Were there material unplanned outages or maintenance-cost overruns?</w:t>
      </w:r>
    </w:p>
    <w:p>
      <w:pPr>
        <w:pStyle w:val="Compact"/>
        <w:numPr>
          <w:ilvl w:val="0"/>
          <w:numId w:val="1004"/>
        </w:numPr>
      </w:pPr>
      <w:r>
        <w:t xml:space="preserve">Did Martin Lake Unit 1 continue to operate reliably after returning from its extended outage late in Q1?</w:t>
      </w:r>
    </w:p>
    <w:p>
      <w:r>
        <w:pict>
          <v:rect style="width:0;height:1.5pt" o:hralign="center" o:hrstd="t" o:hr="t"/>
        </w:pict>
      </w:r>
    </w:p>
    <w:bookmarkEnd w:id="16"/>
    <w:bookmarkStart w:id="18" w:name="X0e4a5d074f5f84a104fc5494846846a3d5ebc8d"/>
    <w:p>
      <w:pPr>
        <w:pStyle w:val="Heading3"/>
      </w:pPr>
      <w:r>
        <w:t xml:space="preserve">3. Cogentrix is the biggest near-term catalyst</w:t>
      </w:r>
    </w:p>
    <w:p>
      <w:pPr>
        <w:pStyle w:val="FirstParagraph"/>
      </w:pPr>
      <w:r>
        <w:t xml:space="preserve">Vistra agreed to acquire Cogentrix’s roughly 5,500 MW gas fleet for an approximately</w:t>
      </w:r>
      <w:r>
        <w:t xml:space="preserve"> </w:t>
      </w:r>
      <w:r>
        <w:rPr>
          <w:b/>
          <w:bCs/>
        </w:rPr>
        <w:t xml:space="preserve">$4.0 billion net purchase price</w:t>
      </w:r>
      <w:r>
        <w:t xml:space="preserve">, equivalent to about</w:t>
      </w:r>
      <w:r>
        <w:t xml:space="preserve"> </w:t>
      </w:r>
      <w:r>
        <w:rPr>
          <w:b/>
          <w:bCs/>
        </w:rPr>
        <w:t xml:space="preserve">7.25 times expected 2027 adjusted EBITDA</w:t>
      </w:r>
      <w:r>
        <w:t xml:space="preserve"> </w:t>
      </w:r>
      <w:r>
        <w:t xml:space="preserve">and $730/kW. The portfolio includes assets in PJM, ISO New England and ERCOT. Vistra expects mid-single-digit adjusted FCF-per-share accretion in 2027 and high-single-digit average accretion over 2027–2029. (</w:t>
      </w:r>
      <w:hyperlink r:id="rId17">
        <w:r>
          <w:rPr>
            <w:rStyle w:val="Hyperlink"/>
          </w:rPr>
          <w:t xml:space="preserve">investor.vistracorp.com</w:t>
        </w:r>
      </w:hyperlink>
      <w:r>
        <w:t xml:space="preserve">)</w:t>
      </w:r>
    </w:p>
    <w:p>
      <w:pPr>
        <w:pStyle w:val="BodyText"/>
      </w:pPr>
      <w:r>
        <w:t xml:space="preserve">The original closing target was mid-to-late 2026, and management said in May that the deal remained on track for the second half.</w:t>
      </w:r>
    </w:p>
    <w:p>
      <w:pPr>
        <w:pStyle w:val="BodyText"/>
      </w:pPr>
      <w:r>
        <w:t xml:space="preserve">The call should clarify:</w:t>
      </w:r>
    </w:p>
    <w:p>
      <w:pPr>
        <w:pStyle w:val="Compact"/>
        <w:numPr>
          <w:ilvl w:val="0"/>
          <w:numId w:val="1005"/>
        </w:numPr>
      </w:pPr>
      <w:r>
        <w:t xml:space="preserve">Whether all major regulatory approvals have been received.</w:t>
      </w:r>
    </w:p>
    <w:p>
      <w:pPr>
        <w:pStyle w:val="Compact"/>
        <w:numPr>
          <w:ilvl w:val="0"/>
          <w:numId w:val="1005"/>
        </w:numPr>
      </w:pPr>
      <w:r>
        <w:t xml:space="preserve">Whether the expected closing window has narrowed.</w:t>
      </w:r>
    </w:p>
    <w:p>
      <w:pPr>
        <w:pStyle w:val="Compact"/>
        <w:numPr>
          <w:ilvl w:val="0"/>
          <w:numId w:val="1005"/>
        </w:numPr>
      </w:pPr>
      <w:r>
        <w:t xml:space="preserve">Whether financing and purchase-price assumptions have changed.</w:t>
      </w:r>
    </w:p>
    <w:p>
      <w:pPr>
        <w:pStyle w:val="Compact"/>
        <w:numPr>
          <w:ilvl w:val="0"/>
          <w:numId w:val="1005"/>
        </w:numPr>
      </w:pPr>
      <w:r>
        <w:t xml:space="preserve">The initial pro forma 2026 and 2027 EBITDA contribution.</w:t>
      </w:r>
    </w:p>
    <w:p>
      <w:pPr>
        <w:pStyle w:val="Compact"/>
        <w:numPr>
          <w:ilvl w:val="0"/>
          <w:numId w:val="1005"/>
        </w:numPr>
      </w:pPr>
      <w:r>
        <w:t xml:space="preserve">Integration costs, synergies and leverage following closing.</w:t>
      </w:r>
    </w:p>
    <w:p>
      <w:pPr>
        <w:pStyle w:val="Compact"/>
        <w:numPr>
          <w:ilvl w:val="0"/>
          <w:numId w:val="1005"/>
        </w:numPr>
      </w:pPr>
      <w:r>
        <w:t xml:space="preserve">Whether the June increase in the revolving facility—from $3.44 billion to $5.5 billion—was primarily transaction preparation or broader liquidity management.</w:t>
      </w:r>
    </w:p>
    <w:p>
      <w:pPr>
        <w:pStyle w:val="FirstParagraph"/>
      </w:pPr>
      <w:r>
        <w:t xml:space="preserve">The implied 2027 EBITDA contribution from the stated purchase multiple is roughly</w:t>
      </w:r>
      <w:r>
        <w:t xml:space="preserve"> </w:t>
      </w:r>
      <w:r>
        <w:rPr>
          <w:b/>
          <w:bCs/>
        </w:rPr>
        <w:t xml:space="preserve">$550 million</w:t>
      </w:r>
      <w:r>
        <w:t xml:space="preserve">. A delay would not necessarily damage the long-term thesis, but it would defer guidance accretion and could pressure sentiment.</w:t>
      </w:r>
    </w:p>
    <w:p>
      <w:pPr>
        <w:pStyle w:val="BodyText"/>
      </w:pPr>
      <w:r>
        <w:rPr>
          <w:b/>
          <w:bCs/>
        </w:rPr>
        <w:t xml:space="preserve">The most constructive outcome:</w:t>
      </w:r>
      <w:r>
        <w:t xml:space="preserve"> </w:t>
      </w:r>
      <w:r>
        <w:t xml:space="preserve">an imminent closing date accompanied by updated 2026 guidance and a materially higher 2027 EBITDA framework.</w:t>
      </w:r>
    </w:p>
    <w:p>
      <w:r>
        <w:pict>
          <v:rect style="width:0;height:1.5pt" o:hralign="center" o:hrstd="t" o:hr="t"/>
        </w:pict>
      </w:r>
    </w:p>
    <w:bookmarkEnd w:id="18"/>
    <w:bookmarkStart w:id="20" w:name="Xae3025cca6d6aa3bfd757aff70683140a9fd6d3"/>
    <w:p>
      <w:pPr>
        <w:pStyle w:val="Heading3"/>
      </w:pPr>
      <w:r>
        <w:t xml:space="preserve">4. Investors want another large-load contract</w:t>
      </w:r>
    </w:p>
    <w:p>
      <w:pPr>
        <w:pStyle w:val="FirstParagraph"/>
      </w:pPr>
      <w:r>
        <w:t xml:space="preserve">Vistra’s 20-year agreements with Meta cover</w:t>
      </w:r>
      <w:r>
        <w:t xml:space="preserve"> </w:t>
      </w:r>
      <w:r>
        <w:rPr>
          <w:b/>
          <w:bCs/>
        </w:rPr>
        <w:t xml:space="preserve">2,609 MW</w:t>
      </w:r>
      <w:r>
        <w:t xml:space="preserve"> </w:t>
      </w:r>
      <w:r>
        <w:t xml:space="preserve">of carbon-free power and capacity from its PJM nuclear plants:</w:t>
      </w:r>
    </w:p>
    <w:p>
      <w:pPr>
        <w:pStyle w:val="Compact"/>
        <w:numPr>
          <w:ilvl w:val="0"/>
          <w:numId w:val="1006"/>
        </w:numPr>
      </w:pPr>
      <w:r>
        <w:t xml:space="preserve">2,176 MW from existing generation.</w:t>
      </w:r>
    </w:p>
    <w:p>
      <w:pPr>
        <w:pStyle w:val="Compact"/>
        <w:numPr>
          <w:ilvl w:val="0"/>
          <w:numId w:val="1006"/>
        </w:numPr>
      </w:pPr>
      <w:r>
        <w:t xml:space="preserve">433 MW of nuclear uprates.</w:t>
      </w:r>
    </w:p>
    <w:p>
      <w:pPr>
        <w:pStyle w:val="Compact"/>
        <w:numPr>
          <w:ilvl w:val="0"/>
          <w:numId w:val="1006"/>
        </w:numPr>
      </w:pPr>
      <w:r>
        <w:t xml:space="preserve">Initial deliveries beginning in late 2026.</w:t>
      </w:r>
    </w:p>
    <w:p>
      <w:pPr>
        <w:pStyle w:val="Compact"/>
        <w:numPr>
          <w:ilvl w:val="0"/>
          <w:numId w:val="1006"/>
        </w:numPr>
      </w:pPr>
      <w:r>
        <w:t xml:space="preserve">Full existing-generation delivery by the end of 2027.</w:t>
      </w:r>
    </w:p>
    <w:p>
      <w:pPr>
        <w:pStyle w:val="Compact"/>
        <w:numPr>
          <w:ilvl w:val="0"/>
          <w:numId w:val="1006"/>
        </w:numPr>
      </w:pPr>
      <w:r>
        <w:t xml:space="preserve">Full uprate delivery by the end of 2034. (</w:t>
      </w:r>
      <w:hyperlink r:id="rId19">
        <w:r>
          <w:rPr>
            <w:rStyle w:val="Hyperlink"/>
          </w:rPr>
          <w:t xml:space="preserve">sec.gov</w:t>
        </w:r>
      </w:hyperlink>
      <w:r>
        <w:t xml:space="preserve">)</w:t>
      </w:r>
    </w:p>
    <w:p>
      <w:pPr>
        <w:pStyle w:val="FirstParagraph"/>
      </w:pPr>
      <w:r>
        <w:t xml:space="preserve">Vistra has quantified the eventual FCF impact as:</w:t>
      </w:r>
    </w:p>
    <w:p>
      <w:pPr>
        <w:pStyle w:val="Compact"/>
        <w:numPr>
          <w:ilvl w:val="0"/>
          <w:numId w:val="1007"/>
        </w:numPr>
      </w:pPr>
      <w:r>
        <w:t xml:space="preserve">Approximately</w:t>
      </w:r>
      <w:r>
        <w:t xml:space="preserve"> </w:t>
      </w:r>
      <w:r>
        <w:rPr>
          <w:b/>
          <w:bCs/>
        </w:rPr>
        <w:t xml:space="preserve">8%–10% accretion</w:t>
      </w:r>
      <w:r>
        <w:t xml:space="preserve"> </w:t>
      </w:r>
      <w:r>
        <w:t xml:space="preserve">from existing operating energy and capacity.</w:t>
      </w:r>
    </w:p>
    <w:p>
      <w:pPr>
        <w:pStyle w:val="Compact"/>
        <w:numPr>
          <w:ilvl w:val="0"/>
          <w:numId w:val="1007"/>
        </w:numPr>
      </w:pPr>
      <w:r>
        <w:t xml:space="preserve">An additional</w:t>
      </w:r>
      <w:r>
        <w:t xml:space="preserve"> </w:t>
      </w:r>
      <w:r>
        <w:rPr>
          <w:b/>
          <w:bCs/>
        </w:rPr>
        <w:t xml:space="preserve">5%–7% accretion</w:t>
      </w:r>
      <w:r>
        <w:t xml:space="preserve"> </w:t>
      </w:r>
      <w:r>
        <w:t xml:space="preserve">from the uprates at full delivery.</w:t>
      </w:r>
    </w:p>
    <w:p>
      <w:pPr>
        <w:pStyle w:val="FirstParagraph"/>
      </w:pPr>
      <w:r>
        <w:t xml:space="preserve">The company still has approximately</w:t>
      </w:r>
      <w:r>
        <w:t xml:space="preserve"> </w:t>
      </w:r>
      <w:r>
        <w:rPr>
          <w:b/>
          <w:bCs/>
        </w:rPr>
        <w:t xml:space="preserve">3.2 GW of nuclear capacity at Beaver Valley and Comanche Peak</w:t>
      </w:r>
      <w:r>
        <w:t xml:space="preserve"> </w:t>
      </w:r>
      <w:r>
        <w:t xml:space="preserve">available for potential long-term contracts, in addition to gas-plant and new-build opportunities.</w:t>
      </w:r>
    </w:p>
    <w:p>
      <w:pPr>
        <w:pStyle w:val="BodyText"/>
      </w:pPr>
      <w:r>
        <w:t xml:space="preserve">Management is unlikely to give precise timing on unfinished negotiations. Still, investors will listen closely for changes in language around:</w:t>
      </w:r>
    </w:p>
    <w:p>
      <w:pPr>
        <w:pStyle w:val="Compact"/>
        <w:numPr>
          <w:ilvl w:val="0"/>
          <w:numId w:val="1008"/>
        </w:numPr>
      </w:pPr>
      <w:r>
        <w:t xml:space="preserve">Customer engagement and the pace of negotiations.</w:t>
      </w:r>
    </w:p>
    <w:p>
      <w:pPr>
        <w:pStyle w:val="Compact"/>
        <w:numPr>
          <w:ilvl w:val="0"/>
          <w:numId w:val="1008"/>
        </w:numPr>
      </w:pPr>
      <w:r>
        <w:t xml:space="preserve">Nuclear versus natural-gas contracting.</w:t>
      </w:r>
    </w:p>
    <w:p>
      <w:pPr>
        <w:pStyle w:val="Compact"/>
        <w:numPr>
          <w:ilvl w:val="0"/>
          <w:numId w:val="1008"/>
        </w:numPr>
      </w:pPr>
      <w:r>
        <w:t xml:space="preserve">Colocation and grid-interconnection rules.</w:t>
      </w:r>
    </w:p>
    <w:p>
      <w:pPr>
        <w:pStyle w:val="Compact"/>
        <w:numPr>
          <w:ilvl w:val="0"/>
          <w:numId w:val="1008"/>
        </w:numPr>
      </w:pPr>
      <w:r>
        <w:t xml:space="preserve">“Bridge power” for data centers awaiting grid connections.</w:t>
      </w:r>
    </w:p>
    <w:p>
      <w:pPr>
        <w:pStyle w:val="Compact"/>
        <w:numPr>
          <w:ilvl w:val="0"/>
          <w:numId w:val="1008"/>
        </w:numPr>
      </w:pPr>
      <w:r>
        <w:t xml:space="preserve">Contract structures combining existing generation with new capacity.</w:t>
      </w:r>
    </w:p>
    <w:p>
      <w:pPr>
        <w:pStyle w:val="Compact"/>
        <w:numPr>
          <w:ilvl w:val="0"/>
          <w:numId w:val="1008"/>
        </w:numPr>
      </w:pPr>
      <w:r>
        <w:t xml:space="preserve">Whether regulatory uncertainty is slowing customer decisions.</w:t>
      </w:r>
    </w:p>
    <w:p>
      <w:pPr>
        <w:pStyle w:val="FirstParagraph"/>
      </w:pPr>
      <w:r>
        <w:t xml:space="preserve">A new contract would be the clearest upside catalyst, but continued confidence in an active pipeline may be sufficient if accompanied by concrete milestones.</w:t>
      </w:r>
    </w:p>
    <w:p>
      <w:r>
        <w:pict>
          <v:rect style="width:0;height:1.5pt" o:hralign="center" o:hrstd="t" o:hr="t"/>
        </w:pict>
      </w:r>
    </w:p>
    <w:bookmarkEnd w:id="20"/>
    <w:bookmarkStart w:id="22" w:name="X79ad6283d1c623350d383c4dd01baa70030123b"/>
    <w:p>
      <w:pPr>
        <w:pStyle w:val="Heading3"/>
      </w:pPr>
      <w:r>
        <w:t xml:space="preserve">5. PJM economics remain a major long-term support</w:t>
      </w:r>
    </w:p>
    <w:p>
      <w:pPr>
        <w:pStyle w:val="FirstParagraph"/>
      </w:pPr>
      <w:r>
        <w:t xml:space="preserve">Vistra cleared approximately</w:t>
      </w:r>
      <w:r>
        <w:t xml:space="preserve"> </w:t>
      </w:r>
      <w:r>
        <w:rPr>
          <w:b/>
          <w:bCs/>
        </w:rPr>
        <w:t xml:space="preserve">10.924 GW</w:t>
      </w:r>
      <w:r>
        <w:t xml:space="preserve"> </w:t>
      </w:r>
      <w:r>
        <w:t xml:space="preserve">in PJM’s 2028/2029 capacity auction at</w:t>
      </w:r>
      <w:r>
        <w:t xml:space="preserve"> </w:t>
      </w:r>
      <m:oMath>
        <m:r>
          <m:t>325</m:t>
        </m:r>
        <m:r>
          <m:rPr>
            <m:sty m:val="p"/>
          </m:rPr>
          <m:t>/</m:t>
        </m:r>
        <m:r>
          <m:t>M</m:t>
        </m:r>
        <m:r>
          <m:t>W</m:t>
        </m:r>
        <m:r>
          <m:rPr>
            <m:sty m:val="p"/>
          </m:rPr>
          <m:t>−</m:t>
        </m:r>
        <m:r>
          <m:t>d</m:t>
        </m:r>
        <m:r>
          <m:t>a</m:t>
        </m:r>
        <m:r>
          <m:t>y</m:t>
        </m:r>
        <m:r>
          <m:rPr>
            <m:sty m:val="p"/>
          </m:rPr>
          <m:t>.</m:t>
        </m:r>
        <m:r>
          <m:t>T</m:t>
        </m:r>
        <m:r>
          <m:t>h</m:t>
        </m:r>
        <m:r>
          <m:t>a</m:t>
        </m:r>
        <m:r>
          <m:t>t</m:t>
        </m:r>
        <m:r>
          <m:t>e</m:t>
        </m:r>
        <m:r>
          <m:t>q</m:t>
        </m:r>
        <m:r>
          <m:t>u</m:t>
        </m:r>
        <m:r>
          <m:t>a</m:t>
        </m:r>
        <m:r>
          <m:t>t</m:t>
        </m:r>
        <m:r>
          <m:t>e</m:t>
        </m:r>
        <m:r>
          <m:t>s</m:t>
        </m:r>
        <m:r>
          <m:t>t</m:t>
        </m:r>
        <m:r>
          <m:t>o</m:t>
        </m:r>
        <m:r>
          <m:t>a</m:t>
        </m:r>
        <m:r>
          <m:t>p</m:t>
        </m:r>
        <m:r>
          <m:t>p</m:t>
        </m:r>
        <m:r>
          <m:t>r</m:t>
        </m:r>
        <m:r>
          <m:t>o</m:t>
        </m:r>
        <m:r>
          <m:t>x</m:t>
        </m:r>
        <m:r>
          <m:t>i</m:t>
        </m:r>
        <m:r>
          <m:t>m</m:t>
        </m:r>
        <m:r>
          <m:t>a</m:t>
        </m:r>
        <m:r>
          <m:t>t</m:t>
        </m:r>
        <m:r>
          <m:t>e</m:t>
        </m:r>
        <m:r>
          <m:t>l</m:t>
        </m:r>
        <m:r>
          <m:t>y</m:t>
        </m:r>
        <m:r>
          <m:rPr>
            <m:sty m:val="p"/>
          </m:rPr>
          <m:t>*</m:t>
        </m:r>
        <m:r>
          <m:rPr>
            <m:sty m:val="p"/>
          </m:rPr>
          <m:t>*</m:t>
        </m:r>
      </m:oMath>
      <w:r>
        <w:t xml:space="preserve">1.30 billion of gross annual capacity revenue** before plant costs and other adjustments. The prior 2026/2027 auction produced roughly $1.24 billion from 10.314 GW at $329.17/MW-day, so the higher cleared volume more than offset the modestly lower price. (</w:t>
      </w:r>
      <w:hyperlink r:id="rId21">
        <w:r>
          <w:rPr>
            <w:rStyle w:val="Hyperlink"/>
          </w:rPr>
          <w:t xml:space="preserve">pjm.com</w:t>
        </w:r>
      </w:hyperlink>
      <w:r>
        <w:t xml:space="preserve">)</w:t>
      </w:r>
    </w:p>
    <w:p>
      <w:pPr>
        <w:pStyle w:val="BodyText"/>
      </w:pPr>
      <w:r>
        <w:t xml:space="preserve">This is not a Q2 earnings item, but it reinforces several elements of the thesis:</w:t>
      </w:r>
    </w:p>
    <w:p>
      <w:pPr>
        <w:pStyle w:val="Compact"/>
        <w:numPr>
          <w:ilvl w:val="0"/>
          <w:numId w:val="1009"/>
        </w:numPr>
      </w:pPr>
      <w:r>
        <w:t xml:space="preserve">Dispatchable capacity remains scarce in PJM.</w:t>
      </w:r>
    </w:p>
    <w:p>
      <w:pPr>
        <w:pStyle w:val="Compact"/>
        <w:numPr>
          <w:ilvl w:val="0"/>
          <w:numId w:val="1009"/>
        </w:numPr>
      </w:pPr>
      <w:r>
        <w:t xml:space="preserve">Vistra’s nuclear and gas fleet has substantial forward earnings visibility.</w:t>
      </w:r>
    </w:p>
    <w:p>
      <w:pPr>
        <w:pStyle w:val="Compact"/>
        <w:numPr>
          <w:ilvl w:val="0"/>
          <w:numId w:val="1009"/>
        </w:numPr>
      </w:pPr>
      <w:r>
        <w:t xml:space="preserve">Existing plant sites and uprates carry strategic value.</w:t>
      </w:r>
    </w:p>
    <w:p>
      <w:pPr>
        <w:pStyle w:val="Compact"/>
        <w:numPr>
          <w:ilvl w:val="0"/>
          <w:numId w:val="1009"/>
        </w:numPr>
      </w:pPr>
      <w:r>
        <w:t xml:space="preserve">The market continues to reward reliable capacity as load forecasts rise.</w:t>
      </w:r>
    </w:p>
    <w:p>
      <w:pPr>
        <w:pStyle w:val="FirstParagraph"/>
      </w:pPr>
      <w:r>
        <w:t xml:space="preserve">The caveat is political and regulatory risk. Elevated capacity prices increase pressure for price caps, market redesign and special procurement mechanisms. Investors should distinguish between strong underlying market fundamentals and the portion of that value that Vistra will ultimately be permitted to capture.</w:t>
      </w:r>
    </w:p>
    <w:p>
      <w:r>
        <w:pict>
          <v:rect style="width:0;height:1.5pt" o:hralign="center" o:hrstd="t" o:hr="t"/>
        </w:pict>
      </w:r>
    </w:p>
    <w:bookmarkEnd w:id="22"/>
    <w:bookmarkStart w:id="23" w:name="X793e5a3bd1b91ecd72b13707760adb9bf73a040"/>
    <w:p>
      <w:pPr>
        <w:pStyle w:val="Heading3"/>
      </w:pPr>
      <w:r>
        <w:t xml:space="preserve">6. Capital allocation and balance-sheet discipline</w:t>
      </w:r>
    </w:p>
    <w:p>
      <w:pPr>
        <w:pStyle w:val="FirstParagraph"/>
      </w:pPr>
      <w:r>
        <w:t xml:space="preserve">As of May 1, Vistra had:</w:t>
      </w:r>
    </w:p>
    <w:p>
      <w:pPr>
        <w:pStyle w:val="Compact"/>
        <w:numPr>
          <w:ilvl w:val="0"/>
          <w:numId w:val="1010"/>
        </w:numPr>
      </w:pPr>
      <w:r>
        <w:t xml:space="preserve">Repurchased approximately</w:t>
      </w:r>
      <w:r>
        <w:t xml:space="preserve"> </w:t>
      </w:r>
      <w:r>
        <w:rPr>
          <w:b/>
          <w:bCs/>
        </w:rPr>
        <w:t xml:space="preserve">$6.3 billion</w:t>
      </w:r>
      <w:r>
        <w:t xml:space="preserve"> </w:t>
      </w:r>
      <w:r>
        <w:t xml:space="preserve">of shares since November 2021.</w:t>
      </w:r>
    </w:p>
    <w:p>
      <w:pPr>
        <w:pStyle w:val="Compact"/>
        <w:numPr>
          <w:ilvl w:val="0"/>
          <w:numId w:val="1010"/>
        </w:numPr>
      </w:pPr>
      <w:r>
        <w:t xml:space="preserve">Reduced shares outstanding by approximately 30%.</w:t>
      </w:r>
    </w:p>
    <w:p>
      <w:pPr>
        <w:pStyle w:val="Compact"/>
        <w:numPr>
          <w:ilvl w:val="0"/>
          <w:numId w:val="1010"/>
        </w:numPr>
      </w:pPr>
      <w:r>
        <w:t xml:space="preserve">Approximately</w:t>
      </w:r>
      <w:r>
        <w:t xml:space="preserve"> </w:t>
      </w:r>
      <w:r>
        <w:rPr>
          <w:b/>
          <w:bCs/>
        </w:rPr>
        <w:t xml:space="preserve">$1.475 billion</w:t>
      </w:r>
      <w:r>
        <w:t xml:space="preserve"> </w:t>
      </w:r>
      <w:r>
        <w:t xml:space="preserve">of repurchase authorization remaining.</w:t>
      </w:r>
    </w:p>
    <w:p>
      <w:pPr>
        <w:pStyle w:val="Compact"/>
        <w:numPr>
          <w:ilvl w:val="0"/>
          <w:numId w:val="1010"/>
        </w:numPr>
      </w:pPr>
      <w:r>
        <w:t xml:space="preserve">Returned roughly $600 million to shareholders during the first four months of 2026 through repurchases and dividends. (</w:t>
      </w:r>
      <w:hyperlink r:id="rId10">
        <w:r>
          <w:rPr>
            <w:rStyle w:val="Hyperlink"/>
          </w:rPr>
          <w:t xml:space="preserve">investor.vistracorp.com</w:t>
        </w:r>
      </w:hyperlink>
      <w:r>
        <w:t xml:space="preserve">)</w:t>
      </w:r>
    </w:p>
    <w:p>
      <w:pPr>
        <w:pStyle w:val="FirstParagraph"/>
      </w:pPr>
      <w:r>
        <w:t xml:space="preserve">At the August 6 share price and approximately 337 million shares, Vistra’s market capitalization is around $47.7 billion. The midpoint of 2026 adjusted FCF before growth represents roughly a</w:t>
      </w:r>
      <w:r>
        <w:t xml:space="preserve"> </w:t>
      </w:r>
      <w:r>
        <w:rPr>
          <w:b/>
          <w:bCs/>
        </w:rPr>
        <w:t xml:space="preserve">9% yield on that equity value</w:t>
      </w:r>
      <w:r>
        <w:t xml:space="preserve">, although the measure is not identical to conventional free cash flow and precedes growth spending.</w:t>
      </w:r>
    </w:p>
    <w:p>
      <w:pPr>
        <w:pStyle w:val="BodyText"/>
      </w:pPr>
      <w:r>
        <w:t xml:space="preserve">Watch for:</w:t>
      </w:r>
    </w:p>
    <w:p>
      <w:pPr>
        <w:pStyle w:val="Compact"/>
        <w:numPr>
          <w:ilvl w:val="0"/>
          <w:numId w:val="1011"/>
        </w:numPr>
      </w:pPr>
      <w:r>
        <w:t xml:space="preserve">Q2 repurchase volume and average purchase price.</w:t>
      </w:r>
    </w:p>
    <w:p>
      <w:pPr>
        <w:pStyle w:val="Compact"/>
        <w:numPr>
          <w:ilvl w:val="0"/>
          <w:numId w:val="1011"/>
        </w:numPr>
      </w:pPr>
      <w:r>
        <w:t xml:space="preserve">Whether buybacks slowed as Cogentrix approached closing.</w:t>
      </w:r>
    </w:p>
    <w:p>
      <w:pPr>
        <w:pStyle w:val="Compact"/>
        <w:numPr>
          <w:ilvl w:val="0"/>
          <w:numId w:val="1011"/>
        </w:numPr>
      </w:pPr>
      <w:r>
        <w:t xml:space="preserve">Changes to the remaining authorization.</w:t>
      </w:r>
    </w:p>
    <w:p>
      <w:pPr>
        <w:pStyle w:val="Compact"/>
        <w:numPr>
          <w:ilvl w:val="0"/>
          <w:numId w:val="1011"/>
        </w:numPr>
      </w:pPr>
      <w:r>
        <w:t xml:space="preserve">Updated net leverage after acquisition financing.</w:t>
      </w:r>
    </w:p>
    <w:p>
      <w:pPr>
        <w:pStyle w:val="Compact"/>
        <w:numPr>
          <w:ilvl w:val="0"/>
          <w:numId w:val="1011"/>
        </w:numPr>
      </w:pPr>
      <w:r>
        <w:t xml:space="preserve">Management’s continued commitment to investment-grade credit metrics.</w:t>
      </w:r>
    </w:p>
    <w:p>
      <w:pPr>
        <w:pStyle w:val="Compact"/>
        <w:numPr>
          <w:ilvl w:val="0"/>
          <w:numId w:val="1011"/>
        </w:numPr>
      </w:pPr>
      <w:r>
        <w:t xml:space="preserve">The allocation of the previously identified roughly $3 billion of capital available through 2027 after planned growth and shareholder returns.</w:t>
      </w:r>
    </w:p>
    <w:p>
      <w:pPr>
        <w:pStyle w:val="FirstParagraph"/>
      </w:pPr>
      <w:r>
        <w:t xml:space="preserve">Buybacks are more accretive at the current share price than they were earlier in the year, but management may prioritize balance-sheet capacity until Cogentrix closes.</w:t>
      </w:r>
    </w:p>
    <w:p>
      <w:r>
        <w:pict>
          <v:rect style="width:0;height:1.5pt" o:hralign="center" o:hrstd="t" o:hr="t"/>
        </w:pict>
      </w:r>
    </w:p>
    <w:bookmarkEnd w:id="23"/>
    <w:bookmarkEnd w:id="24"/>
    <w:bookmarkStart w:id="27" w:name="potential-surprises"/>
    <w:p>
      <w:pPr>
        <w:pStyle w:val="Heading2"/>
      </w:pPr>
      <w:r>
        <w:t xml:space="preserve">Potential surprises</w:t>
      </w:r>
    </w:p>
    <w:bookmarkStart w:id="25" w:name="positive"/>
    <w:p>
      <w:pPr>
        <w:pStyle w:val="Heading3"/>
      </w:pPr>
      <w:r>
        <w:t xml:space="preserve">Positive</w:t>
      </w:r>
    </w:p>
    <w:p>
      <w:pPr>
        <w:pStyle w:val="Compact"/>
        <w:numPr>
          <w:ilvl w:val="0"/>
          <w:numId w:val="1012"/>
        </w:numPr>
      </w:pPr>
      <w:r>
        <w:t xml:space="preserve">Adjusted EBITDA above roughly</w:t>
      </w:r>
      <w:r>
        <w:t xml:space="preserve"> </w:t>
      </w:r>
      <w:r>
        <w:rPr>
          <w:b/>
          <w:bCs/>
        </w:rPr>
        <w:t xml:space="preserve">$1.65 billion</w:t>
      </w:r>
      <w:r>
        <w:t xml:space="preserve">.</w:t>
      </w:r>
    </w:p>
    <w:p>
      <w:pPr>
        <w:pStyle w:val="Compact"/>
        <w:numPr>
          <w:ilvl w:val="0"/>
          <w:numId w:val="1012"/>
        </w:numPr>
      </w:pPr>
      <w:r>
        <w:t xml:space="preserve">Organic 2026 guidance narrowed toward or raised above the midpoint.</w:t>
      </w:r>
    </w:p>
    <w:p>
      <w:pPr>
        <w:pStyle w:val="Compact"/>
        <w:numPr>
          <w:ilvl w:val="0"/>
          <w:numId w:val="1012"/>
        </w:numPr>
      </w:pPr>
      <w:r>
        <w:t xml:space="preserve">Cogentrix closing is imminent, with favorable pro forma guidance.</w:t>
      </w:r>
    </w:p>
    <w:p>
      <w:pPr>
        <w:pStyle w:val="Compact"/>
        <w:numPr>
          <w:ilvl w:val="0"/>
          <w:numId w:val="1012"/>
        </w:numPr>
      </w:pPr>
      <w:r>
        <w:t xml:space="preserve">A new nuclear or gas contract with a hyperscaler.</w:t>
      </w:r>
    </w:p>
    <w:p>
      <w:pPr>
        <w:pStyle w:val="Compact"/>
        <w:numPr>
          <w:ilvl w:val="0"/>
          <w:numId w:val="1012"/>
        </w:numPr>
      </w:pPr>
      <w:r>
        <w:t xml:space="preserve">Strong retail EBITDA recovery without weaker generation margins.</w:t>
      </w:r>
    </w:p>
    <w:p>
      <w:pPr>
        <w:pStyle w:val="Compact"/>
        <w:numPr>
          <w:ilvl w:val="0"/>
          <w:numId w:val="1012"/>
        </w:numPr>
      </w:pPr>
      <w:r>
        <w:t xml:space="preserve">Accelerated repurchases at the recent lower share price.</w:t>
      </w:r>
    </w:p>
    <w:p>
      <w:pPr>
        <w:pStyle w:val="Compact"/>
        <w:numPr>
          <w:ilvl w:val="0"/>
          <w:numId w:val="1012"/>
        </w:numPr>
      </w:pPr>
      <w:r>
        <w:t xml:space="preserve">Better-than-expected 2027 hedge prices or higher hedge coverage.</w:t>
      </w:r>
    </w:p>
    <w:bookmarkEnd w:id="25"/>
    <w:bookmarkStart w:id="26" w:name="negative"/>
    <w:p>
      <w:pPr>
        <w:pStyle w:val="Heading3"/>
      </w:pPr>
      <w:r>
        <w:t xml:space="preserve">Negative</w:t>
      </w:r>
    </w:p>
    <w:p>
      <w:pPr>
        <w:pStyle w:val="Compact"/>
        <w:numPr>
          <w:ilvl w:val="0"/>
          <w:numId w:val="1013"/>
        </w:numPr>
      </w:pPr>
      <w:r>
        <w:t xml:space="preserve">Adjusted EBITDA near or below the prior-year $1.349 billion.</w:t>
      </w:r>
    </w:p>
    <w:p>
      <w:pPr>
        <w:pStyle w:val="Compact"/>
        <w:numPr>
          <w:ilvl w:val="0"/>
          <w:numId w:val="1013"/>
        </w:numPr>
      </w:pPr>
      <w:r>
        <w:t xml:space="preserve">Unplanned generation outages or elevated maintenance expense.</w:t>
      </w:r>
    </w:p>
    <w:p>
      <w:pPr>
        <w:pStyle w:val="Compact"/>
        <w:numPr>
          <w:ilvl w:val="0"/>
          <w:numId w:val="1013"/>
        </w:numPr>
      </w:pPr>
      <w:r>
        <w:t xml:space="preserve">Commentary that 2026 results are tracking toward the lower half of guidance.</w:t>
      </w:r>
    </w:p>
    <w:p>
      <w:pPr>
        <w:pStyle w:val="Compact"/>
        <w:numPr>
          <w:ilvl w:val="0"/>
          <w:numId w:val="1013"/>
        </w:numPr>
      </w:pPr>
      <w:r>
        <w:t xml:space="preserve">Cogentrix regulatory or closing delays.</w:t>
      </w:r>
    </w:p>
    <w:p>
      <w:pPr>
        <w:pStyle w:val="Compact"/>
        <w:numPr>
          <w:ilvl w:val="0"/>
          <w:numId w:val="1013"/>
        </w:numPr>
      </w:pPr>
      <w:r>
        <w:t xml:space="preserve">Slower large-load contracting due to PJM or ERCOT interconnection uncertainty.</w:t>
      </w:r>
    </w:p>
    <w:p>
      <w:pPr>
        <w:pStyle w:val="Compact"/>
        <w:numPr>
          <w:ilvl w:val="0"/>
          <w:numId w:val="1013"/>
        </w:numPr>
      </w:pPr>
      <w:r>
        <w:t xml:space="preserve">Higher growth capital requirements for nuclear uprates or new gas generation.</w:t>
      </w:r>
    </w:p>
    <w:p>
      <w:pPr>
        <w:pStyle w:val="Compact"/>
        <w:numPr>
          <w:ilvl w:val="0"/>
          <w:numId w:val="1013"/>
        </w:numPr>
      </w:pPr>
      <w:r>
        <w:t xml:space="preserve">Reduced buyback capacity because of leverage or acquisition funding.</w:t>
      </w:r>
    </w:p>
    <w:p>
      <w:r>
        <w:pict>
          <v:rect style="width:0;height:1.5pt" o:hralign="center" o:hrstd="t" o:hr="t"/>
        </w:pict>
      </w:r>
    </w:p>
    <w:bookmarkEnd w:id="26"/>
    <w:bookmarkEnd w:id="27"/>
    <w:bookmarkStart w:id="28" w:name="earnings-reaction-framework"/>
    <w:p>
      <w:pPr>
        <w:pStyle w:val="Heading2"/>
      </w:pPr>
      <w:r>
        <w:t xml:space="preserve">Earnings reaction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What it might look like</w:t>
            </w:r>
          </w:p>
        </w:tc>
      </w:tr>
      <w:tr>
        <w:tc>
          <w:tcPr/>
          <w:p>
            <w:pPr>
              <w:pStyle w:val="Compact"/>
            </w:pPr>
            <w:r>
              <w:rPr>
                <w:b/>
                <w:bCs/>
              </w:rPr>
              <w:t xml:space="preserve">Bull case</w:t>
            </w:r>
          </w:p>
        </w:tc>
        <w:tc>
          <w:tcPr/>
          <w:p>
            <w:pPr>
              <w:pStyle w:val="Compact"/>
            </w:pPr>
            <w:r>
              <w:t xml:space="preserve">EBITDA above ~$1.65B; upper-half or higher organic guidance; Cogentrix close imminent; constructive contract update</w:t>
            </w:r>
          </w:p>
        </w:tc>
      </w:tr>
      <w:tr>
        <w:tc>
          <w:tcPr/>
          <w:p>
            <w:pPr>
              <w:pStyle w:val="Compact"/>
            </w:pPr>
            <w:r>
              <w:rPr>
                <w:b/>
                <w:bCs/>
              </w:rPr>
              <w:t xml:space="preserve">Base case</w:t>
            </w:r>
          </w:p>
        </w:tc>
        <w:tc>
          <w:tcPr/>
          <w:p>
            <w:pPr>
              <w:pStyle w:val="Compact"/>
            </w:pPr>
            <w:r>
              <w:t xml:space="preserve">EBITDA around</w:t>
            </w:r>
            <w:r>
              <w:t xml:space="preserve"> </w:t>
            </w:r>
            <m:oMath>
              <m:r>
                <m:t>1.5</m:t>
              </m:r>
              <m:r>
                <m:t>B</m:t>
              </m:r>
              <m:r>
                <m:rPr>
                  <m:sty m:val="p"/>
                </m:rPr>
                <m:t>–</m:t>
              </m:r>
            </m:oMath>
            <w:r>
              <w:t xml:space="preserve">1.6B; full-year guidance reaffirmed; Cogentrix remains on track; no new major contract</w:t>
            </w:r>
          </w:p>
        </w:tc>
      </w:tr>
      <w:tr>
        <w:tc>
          <w:tcPr/>
          <w:p>
            <w:pPr>
              <w:pStyle w:val="Compact"/>
            </w:pPr>
            <w:r>
              <w:rPr>
                <w:b/>
                <w:bCs/>
              </w:rPr>
              <w:t xml:space="preserve">Bear case</w:t>
            </w:r>
          </w:p>
        </w:tc>
        <w:tc>
          <w:tcPr/>
          <w:p>
            <w:pPr>
              <w:pStyle w:val="Compact"/>
            </w:pPr>
            <w:r>
              <w:t xml:space="preserve">EBITDA below ~$1.4B; operational issues; lower-half guidance language; Cogentrix delay or weaker contracting commentary</w:t>
            </w:r>
          </w:p>
        </w:tc>
      </w:tr>
    </w:tbl>
    <w:p>
      <w:r>
        <w:pict>
          <v:rect style="width:0;height:1.5pt" o:hralign="center" o:hrstd="t" o:hr="t"/>
        </w:pict>
      </w:r>
    </w:p>
    <w:bookmarkEnd w:id="28"/>
    <w:bookmarkStart w:id="29" w:name="bottom-line"/>
    <w:p>
      <w:pPr>
        <w:pStyle w:val="Heading2"/>
      </w:pPr>
      <w:r>
        <w:t xml:space="preserve">Bottom line</w:t>
      </w:r>
    </w:p>
    <w:p>
      <w:pPr>
        <w:pStyle w:val="FirstParagraph"/>
      </w:pPr>
      <w:r>
        <w:t xml:space="preserve">The reported quarter should be supported by stronger Texas demand, Lotus contributions and favorable PJM capacity economics. But</w:t>
      </w:r>
      <w:r>
        <w:t xml:space="preserve"> </w:t>
      </w:r>
      <w:r>
        <w:rPr>
          <w:b/>
          <w:bCs/>
        </w:rPr>
        <w:t xml:space="preserve">the earnings print itself is unlikely to settle the investment debate</w:t>
      </w:r>
      <w:r>
        <w:t xml:space="preserve">.</w:t>
      </w:r>
    </w:p>
    <w:p>
      <w:pPr>
        <w:pStyle w:val="BodyText"/>
      </w:pPr>
      <w:r>
        <w:t xml:space="preserve">The three most important items are:</w:t>
      </w:r>
    </w:p>
    <w:p>
      <w:pPr>
        <w:pStyle w:val="Compact"/>
        <w:numPr>
          <w:ilvl w:val="0"/>
          <w:numId w:val="1014"/>
        </w:numPr>
      </w:pPr>
      <w:r>
        <w:rPr>
          <w:b/>
          <w:bCs/>
        </w:rPr>
        <w:t xml:space="preserve">Where Vistra is tracking within its</w:t>
      </w:r>
      <w:r>
        <w:rPr>
          <w:b/>
          <w:bCs/>
        </w:rPr>
        <w:t xml:space="preserve"> </w:t>
      </w:r>
      <m:oMath>
        <m:r>
          <m:t>6.8</m:t>
        </m:r>
        <m:r>
          <m:t>b</m:t>
        </m:r>
        <m:r>
          <m:t>i</m:t>
        </m:r>
        <m:r>
          <m:t>l</m:t>
        </m:r>
        <m:r>
          <m:t>l</m:t>
        </m:r>
        <m:r>
          <m:t>i</m:t>
        </m:r>
        <m:r>
          <m:t>o</m:t>
        </m:r>
        <m:r>
          <m:t>n</m:t>
        </m:r>
        <m:r>
          <m:rPr>
            <m:sty m:val="p"/>
          </m:rPr>
          <m:t>–</m:t>
        </m:r>
      </m:oMath>
      <w:r>
        <w:rPr>
          <w:b/>
          <w:bCs/>
        </w:rPr>
        <w:t xml:space="preserve">7.6 billion 2026 EBITDA range.</w:t>
      </w:r>
    </w:p>
    <w:p>
      <w:pPr>
        <w:pStyle w:val="Compact"/>
        <w:numPr>
          <w:ilvl w:val="0"/>
          <w:numId w:val="1014"/>
        </w:numPr>
      </w:pPr>
      <w:r>
        <w:rPr>
          <w:b/>
          <w:bCs/>
        </w:rPr>
        <w:t xml:space="preserve">When Cogentrix will close and how much it adds to updated 2026–2027 guidance.</w:t>
      </w:r>
    </w:p>
    <w:p>
      <w:pPr>
        <w:pStyle w:val="Compact"/>
        <w:numPr>
          <w:ilvl w:val="0"/>
          <w:numId w:val="1014"/>
        </w:numPr>
      </w:pPr>
      <w:r>
        <w:rPr>
          <w:b/>
          <w:bCs/>
        </w:rPr>
        <w:t xml:space="preserve">Whether the Meta agreement is the start of a repeatable large-load contracting program.</w:t>
      </w:r>
    </w:p>
    <w:p>
      <w:pPr>
        <w:pStyle w:val="FirstParagraph"/>
      </w:pPr>
      <w:r>
        <w:t xml:space="preserve">Given the stock’s decline, a clean quarter plus an on-time Cogentrix update could produce a favorable reaction. A simple EPS beat and unchanged guidance may receive a muted response, while acquisition delays or weak fleet performance would challenge the argument that Vistra’s recent pullback is primarily a valuation reset rather than a deterioration in fundamentals.</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7" Target="https://investor.vistracorp.com/2026-01-05-Vistra-Adds-to-its-Industry-Leading-Generation-Portfolio-with-Acquisition-of-Cogentrix?utm_source=openai" TargetMode="External" /><Relationship Type="http://schemas.openxmlformats.org/officeDocument/2006/relationships/hyperlink" Id="rId10" Target="https://investor.vistracorp.com/2026-05-07-Vistra-Reports-First-Quarter-2026-Results?utm_source=openai" TargetMode="External" /><Relationship Type="http://schemas.openxmlformats.org/officeDocument/2006/relationships/hyperlink" Id="rId15" Target="https://www.ercot.com/static-assets/data/news/content/a-peak-demand/2026/all-time-records.htm?utm_source=openai" TargetMode="External" /><Relationship Type="http://schemas.openxmlformats.org/officeDocument/2006/relationships/hyperlink" Id="rId21" Target="https://www.pjm.com/markets-and-operations/rpm.aspx?utm_source=openai" TargetMode="External" /><Relationship Type="http://schemas.openxmlformats.org/officeDocument/2006/relationships/hyperlink" Id="rId19" Target="https://www.sec.gov/Archives/edgar/data/1692819/000119312526008508/d20785d8k.htm?utm_source=openai" TargetMode="External" /><Relationship Type="http://schemas.openxmlformats.org/officeDocument/2006/relationships/hyperlink" Id="rId11" Target="https://www.tipranks.com/stocks/vst/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7" Target="https://investor.vistracorp.com/2026-01-05-Vistra-Adds-to-its-Industry-Leading-Generation-Portfolio-with-Acquisition-of-Cogentrix?utm_source=openai" TargetMode="External" /><Relationship Type="http://schemas.openxmlformats.org/officeDocument/2006/relationships/hyperlink" Id="rId10" Target="https://investor.vistracorp.com/2026-05-07-Vistra-Reports-First-Quarter-2026-Results?utm_source=openai" TargetMode="External" /><Relationship Type="http://schemas.openxmlformats.org/officeDocument/2006/relationships/hyperlink" Id="rId15" Target="https://www.ercot.com/static-assets/data/news/content/a-peak-demand/2026/all-time-records.htm?utm_source=openai" TargetMode="External" /><Relationship Type="http://schemas.openxmlformats.org/officeDocument/2006/relationships/hyperlink" Id="rId21" Target="https://www.pjm.com/markets-and-operations/rpm.aspx?utm_source=openai" TargetMode="External" /><Relationship Type="http://schemas.openxmlformats.org/officeDocument/2006/relationships/hyperlink" Id="rId19" Target="https://www.sec.gov/Archives/edgar/data/1692819/000119312526008508/d20785d8k.htm?utm_source=openai" TargetMode="External" /><Relationship Type="http://schemas.openxmlformats.org/officeDocument/2006/relationships/hyperlink" Id="rId11" Target="https://www.tipranks.com/stocks/vst/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2026-08-07T00:06:49Z</dcterms:created>
  <dcterms:modified xsi:type="dcterms:W3CDTF">2026-08-07T00:06:49Z</dcterms:modified>
</cp:coreProperties>
</file>

<file path=docProps/custom.xml><?xml version="1.0" encoding="utf-8"?>
<Properties xmlns="http://schemas.openxmlformats.org/officeDocument/2006/custom-properties" xmlns:vt="http://schemas.openxmlformats.org/officeDocument/2006/docPropsVTypes"/>
</file>