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vistra-nyse-vst--2q26-earnings-preview"/>
    <w:p>
      <w:pPr>
        <w:pStyle w:val="Heading1"/>
      </w:pPr>
      <w:r>
        <w:t xml:space="preserve">Vistra (NYSE: VST) — 2Q26 Earnings Preview</w:t>
      </w:r>
    </w:p>
    <w:p>
      <w:pPr>
        <w:pStyle w:val="FirstParagraph"/>
      </w:pPr>
      <w:r>
        <w:rPr>
          <w:b/>
          <w:bCs/>
        </w:rPr>
        <w:t xml:space="preserve">Report date:</w:t>
      </w:r>
      <w:r>
        <w:t xml:space="preserve"> </w:t>
      </w:r>
      <w:r>
        <w:t xml:space="preserve">Friday, August 7, 2026</w:t>
      </w:r>
      <w:r>
        <w:br/>
      </w:r>
      <w:r>
        <w:rPr>
          <w:b/>
          <w:bCs/>
        </w:rPr>
        <w:t xml:space="preserve">Event:</w:t>
      </w:r>
      <w:r>
        <w:t xml:space="preserve"> </w:t>
      </w:r>
      <w:r>
        <w:t xml:space="preserve">2026Q2 Earnings Call</w:t>
      </w:r>
    </w:p>
    <w:bookmarkStart w:id="9" w:name="bottom-line"/>
    <w:p>
      <w:pPr>
        <w:pStyle w:val="Heading2"/>
      </w:pPr>
      <w:r>
        <w:t xml:space="preserve">Bottom line</w:t>
      </w:r>
    </w:p>
    <w:p>
      <w:pPr>
        <w:pStyle w:val="FirstParagraph"/>
      </w:pPr>
      <w:r>
        <w:t xml:space="preserve">Vistra enters 2Q26 with the core earnings story intact: a heavily hedged, increasingly contracted power platform with exposure to structurally tightening power markets, particularly PJM and ERCOT. The near-term setup is less about whether Vistra can report a strong quarter—its hedge book limits quarter-to-quarter volatility in underlying operating earnings—and more about whether management can improve confidence in</w:t>
      </w:r>
      <w:r>
        <w:t xml:space="preserve"> </w:t>
      </w:r>
      <w:r>
        <w:rPr>
          <w:b/>
          <w:bCs/>
        </w:rPr>
        <w:t xml:space="preserve">2027+ earnings power</w:t>
      </w:r>
      <w:r>
        <w:t xml:space="preserve">.</w:t>
      </w:r>
    </w:p>
    <w:p>
      <w:pPr>
        <w:pStyle w:val="BodyText"/>
      </w:pPr>
      <w:r>
        <w:t xml:space="preserve">The central questions are:</w:t>
      </w:r>
    </w:p>
    <w:p>
      <w:pPr>
        <w:pStyle w:val="Compact"/>
        <w:numPr>
          <w:ilvl w:val="0"/>
          <w:numId w:val="1001"/>
        </w:numPr>
      </w:pPr>
      <w:r>
        <w:rPr>
          <w:b/>
          <w:bCs/>
        </w:rPr>
        <w:t xml:space="preserve">Will Vistra maintain or raise its 2026 EBITDA and free-cash-flow guidance?</w:t>
      </w:r>
    </w:p>
    <w:p>
      <w:pPr>
        <w:pStyle w:val="Compact"/>
        <w:numPr>
          <w:ilvl w:val="0"/>
          <w:numId w:val="1001"/>
        </w:numPr>
      </w:pPr>
      <w:r>
        <w:rPr>
          <w:b/>
          <w:bCs/>
        </w:rPr>
        <w:t xml:space="preserve">Is the $5.5 GW Cogentrix gas-fleet acquisition still on track to close in 2H26, and what will it add to guidance?</w:t>
      </w:r>
    </w:p>
    <w:p>
      <w:pPr>
        <w:pStyle w:val="Compact"/>
        <w:numPr>
          <w:ilvl w:val="0"/>
          <w:numId w:val="1001"/>
        </w:numPr>
      </w:pPr>
      <w:r>
        <w:rPr>
          <w:b/>
          <w:bCs/>
        </w:rPr>
        <w:t xml:space="preserve">Is Vistra progressing toward additional long-dated data-center / hyperscaler contracts for nuclear and gas capacity?</w:t>
      </w:r>
    </w:p>
    <w:p>
      <w:pPr>
        <w:pStyle w:val="Compact"/>
        <w:numPr>
          <w:ilvl w:val="0"/>
          <w:numId w:val="1001"/>
        </w:numPr>
      </w:pPr>
      <w:r>
        <w:rPr>
          <w:b/>
          <w:bCs/>
        </w:rPr>
        <w:t xml:space="preserve">Can management defend its view that current ERCOT forward curves understate durable load growth and power-market tightness?</w:t>
      </w:r>
    </w:p>
    <w:p>
      <w:pPr>
        <w:pStyle w:val="Compact"/>
        <w:numPr>
          <w:ilvl w:val="0"/>
          <w:numId w:val="1001"/>
        </w:numPr>
      </w:pPr>
      <w:r>
        <w:rPr>
          <w:b/>
          <w:bCs/>
        </w:rPr>
        <w:t xml:space="preserve">Does capital allocation remain balanced between growth investment, debt management, and repurchases?</w:t>
      </w:r>
    </w:p>
    <w:p>
      <w:pPr>
        <w:pStyle w:val="FirstParagraph"/>
      </w:pPr>
      <w:r>
        <w:t xml:space="preserve">The stock closed at</w:t>
      </w:r>
      <w:r>
        <w:t xml:space="preserve"> </w:t>
      </w:r>
      <w:r>
        <w:rPr>
          <w:b/>
          <w:bCs/>
        </w:rPr>
        <w:t xml:space="preserve">$141.41 on August 6</w:t>
      </w:r>
      <w:r>
        <w:t xml:space="preserve">, down roughly</w:t>
      </w:r>
      <w:r>
        <w:t xml:space="preserve"> </w:t>
      </w:r>
      <w:r>
        <w:rPr>
          <w:b/>
          <w:bCs/>
        </w:rPr>
        <w:t xml:space="preserve">10.7% from the day before its 1Q26 earnings release</w:t>
      </w:r>
      <w:r>
        <w:t xml:space="preserve"> </w:t>
      </w:r>
      <w:r>
        <w:t xml:space="preserve">and about</w:t>
      </w:r>
      <w:r>
        <w:t xml:space="preserve"> </w:t>
      </w:r>
      <w:r>
        <w:rPr>
          <w:b/>
          <w:bCs/>
        </w:rPr>
        <w:t xml:space="preserve">16.3% below its July 23 closing high</w:t>
      </w:r>
      <w:r>
        <w:t xml:space="preserve">. That pullback raises the importance of a credible update on contracted growth and 2027–28 cash generation.</w:t>
      </w:r>
    </w:p>
    <w:p>
      <w:r>
        <w:pict>
          <v:rect style="width:0;height:1.5pt" o:hralign="center" o:hrstd="t" o:hr="t"/>
        </w:pict>
      </w:r>
    </w:p>
    <w:bookmarkEnd w:id="9"/>
    <w:bookmarkStart w:id="10" w:name="X2fd800845c1a1b92c405db7ac67f26cbaa4485d"/>
    <w:p>
      <w:pPr>
        <w:pStyle w:val="Heading2"/>
      </w:pPr>
      <w:r>
        <w:t xml:space="preserve">What Vistra has to beat: a strong 1Q baseline</w:t>
      </w:r>
    </w:p>
    <w:p>
      <w:pPr>
        <w:pStyle w:val="FirstParagraph"/>
      </w:pPr>
      <w:r>
        <w:t xml:space="preserve">Vistra reported</w:t>
      </w:r>
      <w:r>
        <w:t xml:space="preserve"> </w:t>
      </w:r>
      <w:r>
        <w:rPr>
          <w:b/>
          <w:bCs/>
        </w:rPr>
        <w:t xml:space="preserve">$1.494 billion of ongoing-operations Adjusted EBITDA in 1Q26</w:t>
      </w:r>
      <w:r>
        <w:t xml:space="preserve">, up from $1.240 billion in 1Q25. The key contributors were higher realized energy and capacity revenues, particularly in the East segment, plus the contribution from the Lotus gas-asset acquisition completed in late 2025.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1Q26</w:t>
            </w:r>
          </w:p>
        </w:tc>
        <w:tc>
          <w:tcPr/>
          <w:p>
            <w:pPr>
              <w:pStyle w:val="Compact"/>
              <w:jc w:val="right"/>
            </w:pPr>
            <w:r>
              <w:t xml:space="preserve">1Q25</w:t>
            </w:r>
          </w:p>
        </w:tc>
        <w:tc>
          <w:tcPr/>
          <w:p>
            <w:pPr>
              <w:pStyle w:val="Compact"/>
              <w:jc w:val="right"/>
            </w:pPr>
            <w:r>
              <w:t xml:space="preserve">Change</w:t>
            </w:r>
          </w:p>
        </w:tc>
      </w:tr>
      <w:tr>
        <w:tc>
          <w:tcPr/>
          <w:p>
            <w:pPr>
              <w:pStyle w:val="Compact"/>
            </w:pPr>
            <w:r>
              <w:t xml:space="preserve">GAAP net income</w:t>
            </w:r>
          </w:p>
        </w:tc>
        <w:tc>
          <w:tcPr/>
          <w:p>
            <w:pPr>
              <w:pStyle w:val="Compact"/>
              <w:jc w:val="right"/>
            </w:pPr>
            <w:r>
              <w:t xml:space="preserve">$1.029B</w:t>
            </w:r>
          </w:p>
        </w:tc>
        <w:tc>
          <w:tcPr/>
          <w:p>
            <w:pPr>
              <w:pStyle w:val="Compact"/>
              <w:jc w:val="right"/>
            </w:pPr>
            <w:r>
              <w:t xml:space="preserve">$(268)M</w:t>
            </w:r>
          </w:p>
        </w:tc>
        <w:tc>
          <w:tcPr/>
          <w:p>
            <w:pPr>
              <w:pStyle w:val="Compact"/>
              <w:jc w:val="right"/>
            </w:pPr>
            <w:r>
              <w:t xml:space="preserve">NM</w:t>
            </w:r>
          </w:p>
        </w:tc>
      </w:tr>
      <w:tr>
        <w:tc>
          <w:tcPr/>
          <w:p>
            <w:pPr>
              <w:pStyle w:val="Compact"/>
            </w:pPr>
            <w:r>
              <w:t xml:space="preserve">Ongoing Operations Adjusted EBITDA</w:t>
            </w:r>
          </w:p>
        </w:tc>
        <w:tc>
          <w:tcPr/>
          <w:p>
            <w:pPr>
              <w:pStyle w:val="Compact"/>
              <w:jc w:val="right"/>
            </w:pPr>
            <w:r>
              <w:t xml:space="preserve">$1.494B</w:t>
            </w:r>
          </w:p>
        </w:tc>
        <w:tc>
          <w:tcPr/>
          <w:p>
            <w:pPr>
              <w:pStyle w:val="Compact"/>
              <w:jc w:val="right"/>
            </w:pPr>
            <w:r>
              <w:t xml:space="preserve">$1.240B</w:t>
            </w:r>
          </w:p>
        </w:tc>
        <w:tc>
          <w:tcPr/>
          <w:p>
            <w:pPr>
              <w:pStyle w:val="Compact"/>
              <w:jc w:val="right"/>
            </w:pPr>
            <w:r>
              <w:t xml:space="preserve">+20%</w:t>
            </w:r>
          </w:p>
        </w:tc>
      </w:tr>
      <w:tr>
        <w:tc>
          <w:tcPr/>
          <w:p>
            <w:pPr>
              <w:pStyle w:val="Compact"/>
            </w:pPr>
            <w:r>
              <w:t xml:space="preserve">Texas Adjusted EBITDA</w:t>
            </w:r>
          </w:p>
        </w:tc>
        <w:tc>
          <w:tcPr/>
          <w:p>
            <w:pPr>
              <w:pStyle w:val="Compact"/>
              <w:jc w:val="right"/>
            </w:pPr>
            <w:r>
              <w:t xml:space="preserve">$586M</w:t>
            </w:r>
          </w:p>
        </w:tc>
        <w:tc>
          <w:tcPr/>
          <w:p>
            <w:pPr>
              <w:pStyle w:val="Compact"/>
              <w:jc w:val="right"/>
            </w:pPr>
            <w:r>
              <w:t xml:space="preserve">$490M</w:t>
            </w:r>
          </w:p>
        </w:tc>
        <w:tc>
          <w:tcPr/>
          <w:p>
            <w:pPr>
              <w:pStyle w:val="Compact"/>
              <w:jc w:val="right"/>
            </w:pPr>
            <w:r>
              <w:t xml:space="preserve">+20%</w:t>
            </w:r>
          </w:p>
        </w:tc>
      </w:tr>
      <w:tr>
        <w:tc>
          <w:tcPr/>
          <w:p>
            <w:pPr>
              <w:pStyle w:val="Compact"/>
            </w:pPr>
            <w:r>
              <w:t xml:space="preserve">East Adjusted EBITDA</w:t>
            </w:r>
          </w:p>
        </w:tc>
        <w:tc>
          <w:tcPr/>
          <w:p>
            <w:pPr>
              <w:pStyle w:val="Compact"/>
              <w:jc w:val="right"/>
            </w:pPr>
            <w:r>
              <w:t xml:space="preserve">$801M</w:t>
            </w:r>
          </w:p>
        </w:tc>
        <w:tc>
          <w:tcPr/>
          <w:p>
            <w:pPr>
              <w:pStyle w:val="Compact"/>
              <w:jc w:val="right"/>
            </w:pPr>
            <w:r>
              <w:t xml:space="preserve">$514M</w:t>
            </w:r>
          </w:p>
        </w:tc>
        <w:tc>
          <w:tcPr/>
          <w:p>
            <w:pPr>
              <w:pStyle w:val="Compact"/>
              <w:jc w:val="right"/>
            </w:pPr>
            <w:r>
              <w:t xml:space="preserve">+56%</w:t>
            </w:r>
          </w:p>
        </w:tc>
      </w:tr>
      <w:tr>
        <w:tc>
          <w:tcPr/>
          <w:p>
            <w:pPr>
              <w:pStyle w:val="Compact"/>
            </w:pPr>
            <w:r>
              <w:t xml:space="preserve">Retail Adjusted EBITDA</w:t>
            </w:r>
          </w:p>
        </w:tc>
        <w:tc>
          <w:tcPr/>
          <w:p>
            <w:pPr>
              <w:pStyle w:val="Compact"/>
              <w:jc w:val="right"/>
            </w:pPr>
            <w:r>
              <w:t xml:space="preserve">$68M</w:t>
            </w:r>
          </w:p>
        </w:tc>
        <w:tc>
          <w:tcPr/>
          <w:p>
            <w:pPr>
              <w:pStyle w:val="Compact"/>
              <w:jc w:val="right"/>
            </w:pPr>
            <w:r>
              <w:t xml:space="preserve">$184M</w:t>
            </w:r>
          </w:p>
        </w:tc>
        <w:tc>
          <w:tcPr/>
          <w:p>
            <w:pPr>
              <w:pStyle w:val="Compact"/>
              <w:jc w:val="right"/>
            </w:pPr>
            <w:r>
              <w:t xml:space="preserve">-63%</w:t>
            </w:r>
          </w:p>
        </w:tc>
      </w:tr>
    </w:tbl>
    <w:p>
      <w:pPr>
        <w:pStyle w:val="BodyText"/>
      </w:pPr>
      <w:r>
        <w:t xml:space="preserve">The 1Q result illustrates the value of Vistra’s integrated generation-and-retail model. Exceptionally mild Texas weather hurt retail consumption and margins, but that weakness was more than offset by generation, capacity revenues, and the newly acquired Lotus assets.</w:t>
      </w:r>
    </w:p>
    <w:p>
      <w:pPr>
        <w:pStyle w:val="BodyText"/>
      </w:pPr>
      <w:r>
        <w:t xml:space="preserve">For 2Q, the comparison base is meaningful but manageable: in</w:t>
      </w:r>
      <w:r>
        <w:t xml:space="preserve"> </w:t>
      </w:r>
      <w:r>
        <w:rPr>
          <w:b/>
          <w:bCs/>
        </w:rPr>
        <w:t xml:space="preserve">2Q25</w:t>
      </w:r>
      <w:r>
        <w:t xml:space="preserve">, Vistra delivered</w:t>
      </w:r>
      <w:r>
        <w:t xml:space="preserve"> </w:t>
      </w:r>
      <w:r>
        <w:rPr>
          <w:b/>
          <w:bCs/>
        </w:rPr>
        <w:t xml:space="preserve">$1.349 billion</w:t>
      </w:r>
      <w:r>
        <w:t xml:space="preserve"> </w:t>
      </w:r>
      <w:r>
        <w:t xml:space="preserve">of ongoing-operations Adjusted EBITDA. That quarter included unusually strong retail EBITDA of $756 million, while Texas EBITDA was only $142 million and East EBITDA was $418 million. In 2Q26, the Lotus portfolio and higher PJM capacity economics should support the East segment, but retail and Texas weather/market conditions will determine the mix.</w:t>
      </w:r>
    </w:p>
    <w:p>
      <w:r>
        <w:pict>
          <v:rect style="width:0;height:1.5pt" o:hralign="center" o:hrstd="t" o:hr="t"/>
        </w:pict>
      </w:r>
    </w:p>
    <w:bookmarkEnd w:id="10"/>
    <w:bookmarkStart w:id="13" w:name="X58aac4474662a93a1d2c64c564b26ef11cb4547"/>
    <w:p>
      <w:pPr>
        <w:pStyle w:val="Heading2"/>
      </w:pPr>
      <w:r>
        <w:t xml:space="preserve">Guidance is the primary near-term catalyst</w:t>
      </w:r>
    </w:p>
    <w:p>
      <w:pPr>
        <w:pStyle w:val="FirstParagraph"/>
      </w:pPr>
      <w:r>
        <w:t xml:space="preserve">At 1Q, Vistra reaffirmed full-year 2026 guidance for:</w:t>
      </w:r>
    </w:p>
    <w:p>
      <w:pPr>
        <w:pStyle w:val="Compact"/>
        <w:numPr>
          <w:ilvl w:val="0"/>
          <w:numId w:val="1002"/>
        </w:numPr>
      </w:pPr>
      <w:r>
        <w:rPr>
          <w:b/>
          <w:bCs/>
        </w:rPr>
        <w:t xml:space="preserve">Ongoing Operations Adjusted EBITDA:</w:t>
      </w:r>
      <w:r>
        <w:t xml:space="preserve"> </w:t>
      </w:r>
      <m:oMath>
        <m:r>
          <m:t>6.8</m:t>
        </m:r>
        <m:r>
          <m:t>B</m:t>
        </m:r>
        <m:r>
          <m:rPr>
            <m:sty m:val="p"/>
          </m:rPr>
          <m:t>–</m:t>
        </m:r>
      </m:oMath>
      <w:r>
        <w:rPr>
          <w:b/>
          <w:bCs/>
        </w:rPr>
        <w:t xml:space="preserve">7.6B</w:t>
      </w:r>
    </w:p>
    <w:p>
      <w:pPr>
        <w:pStyle w:val="Compact"/>
        <w:numPr>
          <w:ilvl w:val="0"/>
          <w:numId w:val="1002"/>
        </w:numPr>
      </w:pPr>
      <w:r>
        <w:rPr>
          <w:b/>
          <w:bCs/>
        </w:rPr>
        <w:t xml:space="preserve">Ongoing Operations Adjusted FCF before Growth:</w:t>
      </w:r>
      <w:r>
        <w:t xml:space="preserve"> </w:t>
      </w:r>
      <m:oMath>
        <m:r>
          <m:t>3.925</m:t>
        </m:r>
        <m:r>
          <m:t>B</m:t>
        </m:r>
        <m:r>
          <m:rPr>
            <m:sty m:val="p"/>
          </m:rPr>
          <m:t>–</m:t>
        </m:r>
      </m:oMath>
      <w:r>
        <w:rPr>
          <w:b/>
          <w:bCs/>
        </w:rPr>
        <w:t xml:space="preserve">4.725B</w:t>
      </w:r>
    </w:p>
    <w:p>
      <w:pPr>
        <w:pStyle w:val="FirstParagraph"/>
      </w:pPr>
      <w:r>
        <w:t xml:space="preserve">The company also retained its</w:t>
      </w:r>
      <w:r>
        <w:t xml:space="preserve"> </w:t>
      </w:r>
      <w:r>
        <w:rPr>
          <w:b/>
          <w:bCs/>
        </w:rPr>
        <w:t xml:space="preserve">2027 Adjusted EBITDA midpoint opportunity of</w:t>
      </w:r>
      <w:r>
        <w:rPr>
          <w:b/>
          <w:bCs/>
        </w:rPr>
        <w:t xml:space="preserve"> </w:t>
      </w:r>
      <m:oMath>
        <m:r>
          <m:t>7.4</m:t>
        </m:r>
        <m:r>
          <m:t>B</m:t>
        </m:r>
        <m:r>
          <m:rPr>
            <m:sty m:val="p"/>
          </m:rPr>
          <m:t>–</m:t>
        </m:r>
      </m:oMath>
      <w:r>
        <w:rPr>
          <w:b/>
          <w:bCs/>
        </w:rPr>
        <w:t xml:space="preserve">7.8B</w:t>
      </w:r>
      <w:r>
        <w:t xml:space="preserve">. Importantly, both the 2026 guidance and 2027 opportunity range</w:t>
      </w:r>
      <w:r>
        <w:t xml:space="preserve"> </w:t>
      </w:r>
      <w:r>
        <w:rPr>
          <w:b/>
          <w:bCs/>
        </w:rPr>
        <w:t xml:space="preserve">exclude</w:t>
      </w:r>
      <w:r>
        <w:t xml:space="preserve"> </w:t>
      </w:r>
      <w:r>
        <w:t xml:space="preserve">the pending Cogentrix acquisition and the announced Meta nuclear PPAs.</w:t>
      </w:r>
    </w:p>
    <w:p>
      <w:pPr>
        <w:pStyle w:val="BodyText"/>
      </w:pPr>
      <w:r>
        <w:t xml:space="preserve">That framing creates a potentially favorable setup: maintaining guidance would demonstrate continued execution, but the larger valuation issue is whether Vistra is prepared to quantify incremental earnings from assets and contracts that are not yet embedded in its outlook.</w:t>
      </w:r>
    </w:p>
    <w:bookmarkStart w:id="11" w:name="what-would-be-constructive"/>
    <w:p>
      <w:pPr>
        <w:pStyle w:val="Heading3"/>
      </w:pPr>
      <w:r>
        <w:t xml:space="preserve">What would be constructive</w:t>
      </w:r>
    </w:p>
    <w:p>
      <w:pPr>
        <w:pStyle w:val="Compact"/>
        <w:numPr>
          <w:ilvl w:val="0"/>
          <w:numId w:val="1003"/>
        </w:numPr>
      </w:pPr>
      <w:r>
        <w:t xml:space="preserve">Reaffirmation with language pointing to the upper half of the 2026 range.</w:t>
      </w:r>
    </w:p>
    <w:p>
      <w:pPr>
        <w:pStyle w:val="Compact"/>
        <w:numPr>
          <w:ilvl w:val="0"/>
          <w:numId w:val="1003"/>
        </w:numPr>
      </w:pPr>
      <w:r>
        <w:t xml:space="preserve">A clear timetable for incorporating Cogentrix into guidance after closing.</w:t>
      </w:r>
    </w:p>
    <w:p>
      <w:pPr>
        <w:pStyle w:val="Compact"/>
        <w:numPr>
          <w:ilvl w:val="0"/>
          <w:numId w:val="1003"/>
        </w:numPr>
      </w:pPr>
      <w:r>
        <w:t xml:space="preserve">Incremental disclosure on 2027–28 EBITDA, free-cash-flow conversion, financing, or targeted leverage following the deal.</w:t>
      </w:r>
    </w:p>
    <w:p>
      <w:pPr>
        <w:pStyle w:val="Compact"/>
        <w:numPr>
          <w:ilvl w:val="0"/>
          <w:numId w:val="1003"/>
        </w:numPr>
      </w:pPr>
      <w:r>
        <w:t xml:space="preserve">Confirmation that summer operations and hedge execution have tracked to plan.</w:t>
      </w:r>
    </w:p>
    <w:bookmarkEnd w:id="11"/>
    <w:bookmarkStart w:id="12" w:name="what-would-disappoint"/>
    <w:p>
      <w:pPr>
        <w:pStyle w:val="Heading3"/>
      </w:pPr>
      <w:r>
        <w:t xml:space="preserve">What would disappoint</w:t>
      </w:r>
    </w:p>
    <w:p>
      <w:pPr>
        <w:pStyle w:val="Compact"/>
        <w:numPr>
          <w:ilvl w:val="0"/>
          <w:numId w:val="1004"/>
        </w:numPr>
      </w:pPr>
      <w:r>
        <w:t xml:space="preserve">A guidance reduction tied to weak ERCOT pricing, weather, outages, or retail margins.</w:t>
      </w:r>
    </w:p>
    <w:p>
      <w:pPr>
        <w:pStyle w:val="Compact"/>
        <w:numPr>
          <w:ilvl w:val="0"/>
          <w:numId w:val="1004"/>
        </w:numPr>
      </w:pPr>
      <w:r>
        <w:t xml:space="preserve">A delay in Cogentrix closing or a material increase in expected integration/financing costs.</w:t>
      </w:r>
    </w:p>
    <w:p>
      <w:pPr>
        <w:pStyle w:val="Compact"/>
        <w:numPr>
          <w:ilvl w:val="0"/>
          <w:numId w:val="1004"/>
        </w:numPr>
      </w:pPr>
      <w:r>
        <w:t xml:space="preserve">Less confidence in the 2027 opportunity range, especially if management points to weaker forward curves without offsetting customer contracts.</w:t>
      </w:r>
    </w:p>
    <w:p>
      <w:r>
        <w:pict>
          <v:rect style="width:0;height:1.5pt" o:hralign="center" o:hrstd="t" o:hr="t"/>
        </w:pict>
      </w:r>
    </w:p>
    <w:bookmarkEnd w:id="12"/>
    <w:bookmarkEnd w:id="13"/>
    <w:bookmarkStart w:id="17" w:name="Xa98fd752e40f8d2ceb7dc629092e5acaecd7fa1"/>
    <w:p>
      <w:pPr>
        <w:pStyle w:val="Heading2"/>
      </w:pPr>
      <w:r>
        <w:t xml:space="preserve">The growth narrative: Cogentrix, Meta, and the next contract</w:t>
      </w:r>
    </w:p>
    <w:bookmarkStart w:id="14" w:name="Xfb057d6334de0fb391c9e494772117b844d13b1"/>
    <w:p>
      <w:pPr>
        <w:pStyle w:val="Heading3"/>
      </w:pPr>
      <w:r>
        <w:t xml:space="preserve">1. Cogentrix closing and accretion</w:t>
      </w:r>
    </w:p>
    <w:p>
      <w:pPr>
        <w:pStyle w:val="FirstParagraph"/>
      </w:pPr>
      <w:r>
        <w:t xml:space="preserve">Cogentrix is the most immediate strategic milestone. Vistra agreed to acquire</w:t>
      </w:r>
      <w:r>
        <w:t xml:space="preserve"> </w:t>
      </w:r>
      <w:r>
        <w:rPr>
          <w:b/>
          <w:bCs/>
        </w:rPr>
        <w:t xml:space="preserve">10 modern natural-gas facilities totaling roughly 5,500 MW</w:t>
      </w:r>
      <w:r>
        <w:t xml:space="preserve"> </w:t>
      </w:r>
      <w:r>
        <w:t xml:space="preserve">across PJM, ISO-New England, and ERCOT. Consideration includes about</w:t>
      </w:r>
      <w:r>
        <w:t xml:space="preserve"> </w:t>
      </w:r>
      <m:oMath>
        <m:r>
          <m:t>2.3</m:t>
        </m:r>
        <m:r>
          <m:t>b</m:t>
        </m:r>
        <m:r>
          <m:t>i</m:t>
        </m:r>
        <m:r>
          <m:t>l</m:t>
        </m:r>
        <m:r>
          <m:t>l</m:t>
        </m:r>
        <m:r>
          <m:t>i</m:t>
        </m:r>
        <m:r>
          <m:t>o</m:t>
        </m:r>
        <m:r>
          <m:t>n</m:t>
        </m:r>
        <m:r>
          <m:t>o</m:t>
        </m:r>
        <m:r>
          <m:t>f</m:t>
        </m:r>
        <m:r>
          <m:t>c</m:t>
        </m:r>
        <m:r>
          <m:t>a</m:t>
        </m:r>
        <m:r>
          <m:t>s</m:t>
        </m:r>
        <m:r>
          <m:t>h</m:t>
        </m:r>
        <m:r>
          <m:rPr>
            <m:sty m:val="p"/>
          </m:rPr>
          <m:t>*</m:t>
        </m:r>
        <m:r>
          <m:rPr>
            <m:sty m:val="p"/>
          </m:rPr>
          <m:t>*</m:t>
        </m:r>
        <m:r>
          <m:rPr>
            <m:sty m:val="p"/>
          </m:rPr>
          <m:t>,</m:t>
        </m:r>
        <m:r>
          <m:t>a</m:t>
        </m:r>
        <m:r>
          <m:t>s</m:t>
        </m:r>
        <m:r>
          <m:t>s</m:t>
        </m:r>
        <m:r>
          <m:t>u</m:t>
        </m:r>
        <m:r>
          <m:t>m</m:t>
        </m:r>
        <m:r>
          <m:t>p</m:t>
        </m:r>
        <m:r>
          <m:t>t</m:t>
        </m:r>
        <m:r>
          <m:t>i</m:t>
        </m:r>
        <m:r>
          <m:t>o</m:t>
        </m:r>
        <m:r>
          <m:t>n</m:t>
        </m:r>
        <m:r>
          <m:t>o</m:t>
        </m:r>
        <m:r>
          <m:t>f</m:t>
        </m:r>
        <m:r>
          <m:t>a</m:t>
        </m:r>
        <m:r>
          <m:t>n</m:t>
        </m:r>
        <m:r>
          <m:t>e</m:t>
        </m:r>
        <m:r>
          <m:t>s</m:t>
        </m:r>
        <m:r>
          <m:t>t</m:t>
        </m:r>
        <m:r>
          <m:t>i</m:t>
        </m:r>
        <m:r>
          <m:t>m</m:t>
        </m:r>
        <m:r>
          <m:t>a</m:t>
        </m:r>
        <m:r>
          <m:t>t</m:t>
        </m:r>
        <m:r>
          <m:t>e</m:t>
        </m:r>
        <m:r>
          <m:t>d</m:t>
        </m:r>
        <m:r>
          <m:rPr>
            <m:sty m:val="p"/>
          </m:rPr>
          <m:t>*</m:t>
        </m:r>
        <m:r>
          <m:rPr>
            <m:sty m:val="p"/>
          </m:rPr>
          <m:t>*</m:t>
        </m:r>
      </m:oMath>
      <w:r>
        <w:rPr>
          <w:b/>
          <w:bCs/>
        </w:rPr>
        <w:t xml:space="preserve">1.5 billion of debt</w:t>
      </w:r>
      <w:r>
        <w:t xml:space="preserve">, and</w:t>
      </w:r>
      <w:r>
        <w:t xml:space="preserve"> </w:t>
      </w:r>
      <w:r>
        <w:rPr>
          <w:b/>
          <w:bCs/>
        </w:rPr>
        <w:t xml:space="preserve">5 million Vistra shares</w:t>
      </w:r>
      <w:r>
        <w:t xml:space="preserve"> </w:t>
      </w:r>
      <w:r>
        <w:t xml:space="preserve">valued at $185 per share when the transaction was announced.</w:t>
      </w:r>
    </w:p>
    <w:p>
      <w:pPr>
        <w:pStyle w:val="BodyText"/>
      </w:pPr>
      <w:r>
        <w:t xml:space="preserve">Management said in May that closing remained on track for the second half of 2026 and that it would update guidance after completion. Investors should listen for:</w:t>
      </w:r>
    </w:p>
    <w:p>
      <w:pPr>
        <w:pStyle w:val="Compact"/>
        <w:numPr>
          <w:ilvl w:val="0"/>
          <w:numId w:val="1005"/>
        </w:numPr>
      </w:pPr>
      <w:r>
        <w:t xml:space="preserve">Regulatory-approval status and a more specific closing window;</w:t>
      </w:r>
    </w:p>
    <w:p>
      <w:pPr>
        <w:pStyle w:val="Compact"/>
        <w:numPr>
          <w:ilvl w:val="0"/>
          <w:numId w:val="1005"/>
        </w:numPr>
      </w:pPr>
      <w:r>
        <w:t xml:space="preserve">Expected earnings contribution in 2026, 2027, and beyond;</w:t>
      </w:r>
    </w:p>
    <w:p>
      <w:pPr>
        <w:pStyle w:val="Compact"/>
        <w:numPr>
          <w:ilvl w:val="0"/>
          <w:numId w:val="1005"/>
        </w:numPr>
      </w:pPr>
      <w:r>
        <w:t xml:space="preserve">Incremental debt and leverage expectations;</w:t>
      </w:r>
    </w:p>
    <w:p>
      <w:pPr>
        <w:pStyle w:val="Compact"/>
        <w:numPr>
          <w:ilvl w:val="0"/>
          <w:numId w:val="1005"/>
        </w:numPr>
      </w:pPr>
      <w:r>
        <w:t xml:space="preserve">Contracting or optimization opportunities within the acquired fleet.</w:t>
      </w:r>
    </w:p>
    <w:p>
      <w:pPr>
        <w:pStyle w:val="FirstParagraph"/>
      </w:pPr>
      <w:r>
        <w:t xml:space="preserve">Cogentrix matters because it adds dispatchable gas capacity in markets where capacity is increasingly valuable and where data-center load growth could produce long-duration contracting opportunities.</w:t>
      </w:r>
    </w:p>
    <w:bookmarkEnd w:id="14"/>
    <w:bookmarkStart w:id="15" w:name="X0965d88266d5c8f33ea6b78d35ce049df464b0c"/>
    <w:p>
      <w:pPr>
        <w:pStyle w:val="Heading3"/>
      </w:pPr>
      <w:r>
        <w:t xml:space="preserve">2. Meta nuclear PPAs: execution is now more important than announcement</w:t>
      </w:r>
    </w:p>
    <w:p>
      <w:pPr>
        <w:pStyle w:val="FirstParagraph"/>
      </w:pPr>
      <w:r>
        <w:t xml:space="preserve">Vistra’s January agreement with Meta covers</w:t>
      </w:r>
      <w:r>
        <w:t xml:space="preserve"> </w:t>
      </w:r>
      <w:r>
        <w:rPr>
          <w:b/>
          <w:bCs/>
        </w:rPr>
        <w:t xml:space="preserve">2,609 MW</w:t>
      </w:r>
      <w:r>
        <w:t xml:space="preserve"> </w:t>
      </w:r>
      <w:r>
        <w:t xml:space="preserve">of carbon-free power and capacity from its PJM nuclear fleet. The operating-plant portion is expected to begin contributing in late 2026, with full operating-capacity delivery expected by year-end 2027. Uprate-related capacity is longer dated, with full delivery targeted by 2034.</w:t>
      </w:r>
    </w:p>
    <w:p>
      <w:pPr>
        <w:pStyle w:val="BodyText"/>
      </w:pPr>
      <w:r>
        <w:t xml:space="preserve">The earnings call should clarify:</w:t>
      </w:r>
    </w:p>
    <w:p>
      <w:pPr>
        <w:pStyle w:val="Compact"/>
        <w:numPr>
          <w:ilvl w:val="0"/>
          <w:numId w:val="1006"/>
        </w:numPr>
      </w:pPr>
      <w:r>
        <w:t xml:space="preserve">Whether initial delivery timing remains on schedule;</w:t>
      </w:r>
    </w:p>
    <w:p>
      <w:pPr>
        <w:pStyle w:val="Compact"/>
        <w:numPr>
          <w:ilvl w:val="0"/>
          <w:numId w:val="1006"/>
        </w:numPr>
      </w:pPr>
      <w:r>
        <w:t xml:space="preserve">How much of the contract contributes to 2027 earnings;</w:t>
      </w:r>
    </w:p>
    <w:p>
      <w:pPr>
        <w:pStyle w:val="Compact"/>
        <w:numPr>
          <w:ilvl w:val="0"/>
          <w:numId w:val="1006"/>
        </w:numPr>
      </w:pPr>
      <w:r>
        <w:t xml:space="preserve">The remaining uncontracted nuclear opportunity, notably Beaver Valley and Comanche Peak;</w:t>
      </w:r>
    </w:p>
    <w:p>
      <w:pPr>
        <w:pStyle w:val="Compact"/>
        <w:numPr>
          <w:ilvl w:val="0"/>
          <w:numId w:val="1006"/>
        </w:numPr>
      </w:pPr>
      <w:r>
        <w:t xml:space="preserve">Whether regulatory developments in PJM are helping or slowing additional bilateral deals.</w:t>
      </w:r>
    </w:p>
    <w:bookmarkEnd w:id="15"/>
    <w:bookmarkStart w:id="16" w:name="X174d88c23081e855ebf201c07b05455ecd4d07c"/>
    <w:p>
      <w:pPr>
        <w:pStyle w:val="Heading3"/>
      </w:pPr>
      <w:r>
        <w:t xml:space="preserve">3. Helix: optionality, not yet a modeled earnings driver</w:t>
      </w:r>
    </w:p>
    <w:p>
      <w:pPr>
        <w:pStyle w:val="FirstParagraph"/>
      </w:pPr>
      <w:r>
        <w:t xml:space="preserve">In June, Vistra joined KKR, Nvidia, and others in launching</w:t>
      </w:r>
      <w:r>
        <w:t xml:space="preserve"> </w:t>
      </w:r>
      <w:r>
        <w:rPr>
          <w:b/>
          <w:bCs/>
        </w:rPr>
        <w:t xml:space="preserve">Helix Digital Infrastructure</w:t>
      </w:r>
      <w:r>
        <w:t xml:space="preserve">, a platform intended to coordinate power, connectivity, and data-center infrastructure for hyperscalers. Vistra’s role is to provide power. This reinforces its strategic relevance in AI infrastructure, but investors should distinguish between strategic positioning and contracted, financeable earnings.</w:t>
      </w:r>
    </w:p>
    <w:p>
      <w:pPr>
        <w:pStyle w:val="BodyText"/>
      </w:pPr>
      <w:r>
        <w:t xml:space="preserve">The key question is whether Helix produces identifiable Vistra power contracts, site-development opportunities, or incremental capital commitments.</w:t>
      </w:r>
    </w:p>
    <w:p>
      <w:r>
        <w:pict>
          <v:rect style="width:0;height:1.5pt" o:hralign="center" o:hrstd="t" o:hr="t"/>
        </w:pict>
      </w:r>
    </w:p>
    <w:bookmarkEnd w:id="16"/>
    <w:bookmarkEnd w:id="17"/>
    <w:bookmarkStart w:id="21" w:name="the-operating-items-that-matter-in-2q"/>
    <w:p>
      <w:pPr>
        <w:pStyle w:val="Heading2"/>
      </w:pPr>
      <w:r>
        <w:t xml:space="preserve">The operating items that matter in 2Q</w:t>
      </w:r>
    </w:p>
    <w:bookmarkStart w:id="18" w:name="Xd329b2f10f10d321817310ef752a7909d40d0d0"/>
    <w:p>
      <w:pPr>
        <w:pStyle w:val="Heading3"/>
      </w:pPr>
      <w:r>
        <w:t xml:space="preserve">East segment: likely the most important earnings engine</w:t>
      </w:r>
    </w:p>
    <w:p>
      <w:pPr>
        <w:pStyle w:val="FirstParagraph"/>
      </w:pPr>
      <w:r>
        <w:t xml:space="preserve">The East segment was Vistra’s largest EBITDA contributor in 1Q, aided by higher realized capacity prices and Lotus asset contributions. The market will focus on whether those benefits continued in 2Q and whether nuclear and gas availability remained strong.</w:t>
      </w:r>
    </w:p>
    <w:p>
      <w:pPr>
        <w:pStyle w:val="BodyText"/>
      </w:pPr>
      <w:r>
        <w:t xml:space="preserve">Operational reliability is particularly important because Vistra’s nuclear assets and PJM gas fleet are central to the company’s long-term contracted-power thesis.</w:t>
      </w:r>
    </w:p>
    <w:bookmarkEnd w:id="18"/>
    <w:bookmarkStart w:id="19" w:name="Xe7047a0191e8686c844d4a86392a9419b4e6f2d"/>
    <w:p>
      <w:pPr>
        <w:pStyle w:val="Heading3"/>
      </w:pPr>
      <w:r>
        <w:t xml:space="preserve">ERCOT: market fundamentals versus near-term pricing</w:t>
      </w:r>
    </w:p>
    <w:p>
      <w:pPr>
        <w:pStyle w:val="FirstParagraph"/>
      </w:pPr>
      <w:r>
        <w:t xml:space="preserve">Management has argued that ERCOT demand can grow at a</w:t>
      </w:r>
      <w:r>
        <w:t xml:space="preserve"> </w:t>
      </w:r>
      <w:r>
        <w:rPr>
          <w:b/>
          <w:bCs/>
        </w:rPr>
        <w:t xml:space="preserve">5%–6% annual rate through 2030</w:t>
      </w:r>
      <w:r>
        <w:t xml:space="preserve">, while suggesting current forward curves do not fully reflect that trajectory. Investors will want an update on:</w:t>
      </w:r>
    </w:p>
    <w:p>
      <w:pPr>
        <w:pStyle w:val="Compact"/>
        <w:numPr>
          <w:ilvl w:val="0"/>
          <w:numId w:val="1007"/>
        </w:numPr>
      </w:pPr>
      <w:r>
        <w:t xml:space="preserve">Actual large-load/data-center interconnections;</w:t>
      </w:r>
    </w:p>
    <w:p>
      <w:pPr>
        <w:pStyle w:val="Compact"/>
        <w:numPr>
          <w:ilvl w:val="0"/>
          <w:numId w:val="1007"/>
        </w:numPr>
      </w:pPr>
      <w:r>
        <w:t xml:space="preserve">Summer demand and scarcity pricing;</w:t>
      </w:r>
    </w:p>
    <w:p>
      <w:pPr>
        <w:pStyle w:val="Compact"/>
        <w:numPr>
          <w:ilvl w:val="0"/>
          <w:numId w:val="1007"/>
        </w:numPr>
      </w:pPr>
      <w:r>
        <w:t xml:space="preserve">Battery additions and their impact on price formation;</w:t>
      </w:r>
    </w:p>
    <w:p>
      <w:pPr>
        <w:pStyle w:val="Compact"/>
        <w:numPr>
          <w:ilvl w:val="0"/>
          <w:numId w:val="1007"/>
        </w:numPr>
      </w:pPr>
      <w:r>
        <w:t xml:space="preserve">The pace of Texas Energy Fund processes and Vistra’s planned gas additions;</w:t>
      </w:r>
    </w:p>
    <w:p>
      <w:pPr>
        <w:pStyle w:val="Compact"/>
        <w:numPr>
          <w:ilvl w:val="0"/>
          <w:numId w:val="1007"/>
        </w:numPr>
      </w:pPr>
      <w:r>
        <w:t xml:space="preserve">Commercial progress on Texas gas capacity, including bridge-power opportunities.</w:t>
      </w:r>
    </w:p>
    <w:p>
      <w:pPr>
        <w:pStyle w:val="FirstParagraph"/>
      </w:pPr>
      <w:r>
        <w:t xml:space="preserve">The risk is that near-term ERCOT pricing remains soft due to mild weather, battery supply, or delayed load interconnections. The upside is that sustained demand growth and tighter reliability conditions eventually re-rate forward power prices.</w:t>
      </w:r>
    </w:p>
    <w:bookmarkEnd w:id="19"/>
    <w:bookmarkStart w:id="20" w:name="retail-a-likely-swing-factor"/>
    <w:p>
      <w:pPr>
        <w:pStyle w:val="Heading3"/>
      </w:pPr>
      <w:r>
        <w:t xml:space="preserve">Retail: a likely swing factor</w:t>
      </w:r>
    </w:p>
    <w:p>
      <w:pPr>
        <w:pStyle w:val="FirstParagraph"/>
      </w:pPr>
      <w:r>
        <w:t xml:space="preserve">Retail EBITDA fell sharply in 1Q because unusually mild Texas weather reduced customer usage and increased excess volumes sold at lower wholesale prices. Management expected retail earnings to normalize from the record levels achieved in 2025, so modest year-over-year pressure should not itself be a surprise.</w:t>
      </w:r>
    </w:p>
    <w:p>
      <w:pPr>
        <w:pStyle w:val="BodyText"/>
      </w:pPr>
      <w:r>
        <w:t xml:space="preserve">The important distinction is whether retail is merely normalizing as planned—or deteriorating more sharply due to customer churn, pricing, weather, or competitive pressure.</w:t>
      </w:r>
    </w:p>
    <w:p>
      <w:r>
        <w:pict>
          <v:rect style="width:0;height:1.5pt" o:hralign="center" o:hrstd="t" o:hr="t"/>
        </w:pict>
      </w:r>
    </w:p>
    <w:bookmarkEnd w:id="20"/>
    <w:bookmarkEnd w:id="21"/>
    <w:bookmarkStart w:id="22" w:name="capital-allocation-and-balance-sheet"/>
    <w:p>
      <w:pPr>
        <w:pStyle w:val="Heading2"/>
      </w:pPr>
      <w:r>
        <w:t xml:space="preserve">Capital allocation and balance sheet</w:t>
      </w:r>
    </w:p>
    <w:p>
      <w:pPr>
        <w:pStyle w:val="FirstParagraph"/>
      </w:pPr>
      <w:r>
        <w:t xml:space="preserve">Vistra has meaningful financial flexibility following investment-grade ratings from S&amp;P and Fitch. In 1Q, the company reported about</w:t>
      </w:r>
      <w:r>
        <w:t xml:space="preserve"> </w:t>
      </w:r>
      <m:oMath>
        <m:r>
          <m:t>4.2</m:t>
        </m:r>
        <m:r>
          <m:t>b</m:t>
        </m:r>
        <m:r>
          <m:t>i</m:t>
        </m:r>
        <m:r>
          <m:t>l</m:t>
        </m:r>
        <m:r>
          <m:t>l</m:t>
        </m:r>
        <m:r>
          <m:t>i</m:t>
        </m:r>
        <m:r>
          <m:t>o</m:t>
        </m:r>
        <m:r>
          <m:t>n</m:t>
        </m:r>
        <m:r>
          <m:t>o</m:t>
        </m:r>
        <m:r>
          <m:t>f</m:t>
        </m:r>
        <m:r>
          <m:t>a</m:t>
        </m:r>
        <m:r>
          <m:t>v</m:t>
        </m:r>
        <m:r>
          <m:t>a</m:t>
        </m:r>
        <m:r>
          <m:t>i</m:t>
        </m:r>
        <m:r>
          <m:t>l</m:t>
        </m:r>
        <m:r>
          <m:t>a</m:t>
        </m:r>
        <m:r>
          <m:t>b</m:t>
        </m:r>
        <m:r>
          <m:t>l</m:t>
        </m:r>
        <m:r>
          <m:t>e</m:t>
        </m:r>
        <m:r>
          <m:t>l</m:t>
        </m:r>
        <m:r>
          <m:t>i</m:t>
        </m:r>
        <m:r>
          <m:t>q</m:t>
        </m:r>
        <m:r>
          <m:t>u</m:t>
        </m:r>
        <m:r>
          <m:t>i</m:t>
        </m:r>
        <m:r>
          <m:t>d</m:t>
        </m:r>
        <m:r>
          <m:t>i</m:t>
        </m:r>
        <m:r>
          <m:t>t</m:t>
        </m:r>
        <m:r>
          <m:t>y</m:t>
        </m:r>
        <m:r>
          <m:rPr>
            <m:sty m:val="p"/>
          </m:rPr>
          <m:t>*</m:t>
        </m:r>
        <m:r>
          <m:rPr>
            <m:sty m:val="p"/>
          </m:rPr>
          <m:t>*</m:t>
        </m:r>
        <m:r>
          <m:t>a</m:t>
        </m:r>
        <m:r>
          <m:t>n</m:t>
        </m:r>
        <m:r>
          <m:t>d</m:t>
        </m:r>
        <m:r>
          <m:t>c</m:t>
        </m:r>
        <m:r>
          <m:t>o</m:t>
        </m:r>
        <m:r>
          <m:t>n</m:t>
        </m:r>
        <m:r>
          <m:t>t</m:t>
        </m:r>
        <m:r>
          <m:t>i</m:t>
        </m:r>
        <m:r>
          <m:t>n</m:t>
        </m:r>
        <m:r>
          <m:t>u</m:t>
        </m:r>
        <m:r>
          <m:t>e</m:t>
        </m:r>
        <m:r>
          <m:t>d</m:t>
        </m:r>
        <m:r>
          <m:t>r</m:t>
        </m:r>
        <m:r>
          <m:t>e</m:t>
        </m:r>
        <m:r>
          <m:t>p</m:t>
        </m:r>
        <m:r>
          <m:t>u</m:t>
        </m:r>
        <m:r>
          <m:t>r</m:t>
        </m:r>
        <m:r>
          <m:t>c</m:t>
        </m:r>
        <m:r>
          <m:t>h</m:t>
        </m:r>
        <m:r>
          <m:t>a</m:t>
        </m:r>
        <m:r>
          <m:t>s</m:t>
        </m:r>
        <m:r>
          <m:t>i</m:t>
        </m:r>
        <m:r>
          <m:t>n</m:t>
        </m:r>
        <m:r>
          <m:t>g</m:t>
        </m:r>
        <m:r>
          <m:t>s</m:t>
        </m:r>
        <m:r>
          <m:t>h</m:t>
        </m:r>
        <m:r>
          <m:t>a</m:t>
        </m:r>
        <m:r>
          <m:t>r</m:t>
        </m:r>
        <m:r>
          <m:t>e</m:t>
        </m:r>
        <m:r>
          <m:t>s</m:t>
        </m:r>
        <m:r>
          <m:rPr>
            <m:sty m:val="p"/>
          </m:rPr>
          <m:t>,</m:t>
        </m:r>
        <m:r>
          <m:t>w</m:t>
        </m:r>
        <m:r>
          <m:t>i</m:t>
        </m:r>
        <m:r>
          <m:t>t</m:t>
        </m:r>
        <m:r>
          <m:t>h</m:t>
        </m:r>
        <m:r>
          <m:t>a</m:t>
        </m:r>
        <m:r>
          <m:t>p</m:t>
        </m:r>
        <m:r>
          <m:t>p</m:t>
        </m:r>
        <m:r>
          <m:t>r</m:t>
        </m:r>
        <m:r>
          <m:t>o</m:t>
        </m:r>
        <m:r>
          <m:t>x</m:t>
        </m:r>
        <m:r>
          <m:t>i</m:t>
        </m:r>
        <m:r>
          <m:t>m</m:t>
        </m:r>
        <m:r>
          <m:t>a</m:t>
        </m:r>
        <m:r>
          <m:t>t</m:t>
        </m:r>
        <m:r>
          <m:t>e</m:t>
        </m:r>
        <m:r>
          <m:t>l</m:t>
        </m:r>
        <m:r>
          <m:t>y</m:t>
        </m:r>
        <m:r>
          <m:rPr>
            <m:sty m:val="p"/>
          </m:rPr>
          <m:t>*</m:t>
        </m:r>
        <m:r>
          <m:rPr>
            <m:sty m:val="p"/>
          </m:rPr>
          <m:t>*</m:t>
        </m:r>
      </m:oMath>
      <w:r>
        <w:rPr>
          <w:b/>
          <w:bCs/>
        </w:rPr>
        <w:t xml:space="preserve">1.5 billion</w:t>
      </w:r>
      <w:r>
        <w:t xml:space="preserve"> </w:t>
      </w:r>
      <w:r>
        <w:t xml:space="preserve">remaining under its authorization as of early May.</w:t>
      </w:r>
    </w:p>
    <w:p>
      <w:pPr>
        <w:pStyle w:val="BodyText"/>
      </w:pPr>
      <w:r>
        <w:t xml:space="preserve">Management’s stated framework envisions more than</w:t>
      </w:r>
      <w:r>
        <w:t xml:space="preserve"> </w:t>
      </w:r>
      <w:r>
        <w:rPr>
          <w:b/>
          <w:bCs/>
        </w:rPr>
        <w:t xml:space="preserve">$10 billion of cash generation over 2026–27</w:t>
      </w:r>
      <w:r>
        <w:t xml:space="preserve">, allocated roughly among shareholder returns, growth investments—including Cogentrix—and additional optionality.</w:t>
      </w:r>
    </w:p>
    <w:p>
      <w:pPr>
        <w:pStyle w:val="BodyText"/>
      </w:pPr>
      <w:r>
        <w:t xml:space="preserve">The key call questions:</w:t>
      </w:r>
    </w:p>
    <w:p>
      <w:pPr>
        <w:pStyle w:val="Compact"/>
        <w:numPr>
          <w:ilvl w:val="0"/>
          <w:numId w:val="1008"/>
        </w:numPr>
      </w:pPr>
      <w:r>
        <w:t xml:space="preserve">Does Vistra still expect roughly $3 billion of equity-holder capital returns across 2026–27?</w:t>
      </w:r>
    </w:p>
    <w:p>
      <w:pPr>
        <w:pStyle w:val="Compact"/>
        <w:numPr>
          <w:ilvl w:val="0"/>
          <w:numId w:val="1008"/>
        </w:numPr>
      </w:pPr>
      <w:r>
        <w:t xml:space="preserve">Will Cogentrix change the pace of buybacks?</w:t>
      </w:r>
    </w:p>
    <w:p>
      <w:pPr>
        <w:pStyle w:val="Compact"/>
        <w:numPr>
          <w:ilvl w:val="0"/>
          <w:numId w:val="1008"/>
        </w:numPr>
      </w:pPr>
      <w:r>
        <w:t xml:space="preserve">What leverage range is acceptable after closing?</w:t>
      </w:r>
    </w:p>
    <w:p>
      <w:pPr>
        <w:pStyle w:val="Compact"/>
        <w:numPr>
          <w:ilvl w:val="0"/>
          <w:numId w:val="1008"/>
        </w:numPr>
      </w:pPr>
      <w:r>
        <w:t xml:space="preserve">Are higher interest rates or energy-market collateral requirements affecting financing flexibility?</w:t>
      </w:r>
    </w:p>
    <w:p>
      <w:r>
        <w:pict>
          <v:rect style="width:0;height:1.5pt" o:hralign="center" o:hrstd="t" o:hr="t"/>
        </w:pict>
      </w:r>
    </w:p>
    <w:bookmarkEnd w:id="22"/>
    <w:bookmarkStart w:id="23" w:name="key-risks-into-the-print"/>
    <w:p>
      <w:pPr>
        <w:pStyle w:val="Heading2"/>
      </w:pPr>
      <w:r>
        <w:t xml:space="preserve">Key risks into the print</w:t>
      </w:r>
    </w:p>
    <w:p>
      <w:pPr>
        <w:pStyle w:val="Compact"/>
        <w:numPr>
          <w:ilvl w:val="0"/>
          <w:numId w:val="1009"/>
        </w:numPr>
      </w:pPr>
      <w:r>
        <w:rPr>
          <w:b/>
          <w:bCs/>
        </w:rPr>
        <w:t xml:space="preserve">Weather and retail volatility:</w:t>
      </w:r>
      <w:r>
        <w:t xml:space="preserve"> </w:t>
      </w:r>
      <w:r>
        <w:t xml:space="preserve">A mild quarter can pressure retail volumes and margins.</w:t>
      </w:r>
    </w:p>
    <w:p>
      <w:pPr>
        <w:pStyle w:val="Compact"/>
        <w:numPr>
          <w:ilvl w:val="0"/>
          <w:numId w:val="1009"/>
        </w:numPr>
      </w:pPr>
      <w:r>
        <w:rPr>
          <w:b/>
          <w:bCs/>
        </w:rPr>
        <w:t xml:space="preserve">ERCOT curve weakness:</w:t>
      </w:r>
      <w:r>
        <w:t xml:space="preserve"> </w:t>
      </w:r>
      <w:r>
        <w:t xml:space="preserve">Delayed data-center load or continued battery-driven supply growth could weigh on forward pricing.</w:t>
      </w:r>
    </w:p>
    <w:p>
      <w:pPr>
        <w:pStyle w:val="Compact"/>
        <w:numPr>
          <w:ilvl w:val="0"/>
          <w:numId w:val="1009"/>
        </w:numPr>
      </w:pPr>
      <w:r>
        <w:rPr>
          <w:b/>
          <w:bCs/>
        </w:rPr>
        <w:t xml:space="preserve">Regulatory uncertainty:</w:t>
      </w:r>
      <w:r>
        <w:t xml:space="preserve"> </w:t>
      </w:r>
      <w:r>
        <w:t xml:space="preserve">PJM interconnection, colocation, capacity-market, and load-serving rules remain fluid.</w:t>
      </w:r>
    </w:p>
    <w:p>
      <w:pPr>
        <w:pStyle w:val="Compact"/>
        <w:numPr>
          <w:ilvl w:val="0"/>
          <w:numId w:val="1009"/>
        </w:numPr>
      </w:pPr>
      <w:r>
        <w:rPr>
          <w:b/>
          <w:bCs/>
        </w:rPr>
        <w:t xml:space="preserve">Execution risk:</w:t>
      </w:r>
      <w:r>
        <w:t xml:space="preserve"> </w:t>
      </w:r>
      <w:r>
        <w:t xml:space="preserve">Cogentrix closing, integration, nuclear uprates, and gas-development projects all require disciplined execution.</w:t>
      </w:r>
    </w:p>
    <w:p>
      <w:pPr>
        <w:pStyle w:val="Compact"/>
        <w:numPr>
          <w:ilvl w:val="0"/>
          <w:numId w:val="1009"/>
        </w:numPr>
      </w:pPr>
      <w:r>
        <w:rPr>
          <w:b/>
          <w:bCs/>
        </w:rPr>
        <w:t xml:space="preserve">Commodity and collateral volatility:</w:t>
      </w:r>
      <w:r>
        <w:t xml:space="preserve"> </w:t>
      </w:r>
      <w:r>
        <w:t xml:space="preserve">Vistra’s hedges stabilize operating earnings but can create GAAP mark-to-market noise and collateral demands.</w:t>
      </w:r>
    </w:p>
    <w:p>
      <w:pPr>
        <w:pStyle w:val="Compact"/>
        <w:numPr>
          <w:ilvl w:val="0"/>
          <w:numId w:val="1009"/>
        </w:numPr>
      </w:pPr>
      <w:r>
        <w:rPr>
          <w:b/>
          <w:bCs/>
        </w:rPr>
        <w:t xml:space="preserve">Moss Landing / asset-closure costs:</w:t>
      </w:r>
      <w:r>
        <w:t xml:space="preserve"> </w:t>
      </w:r>
      <w:r>
        <w:t xml:space="preserve">These are separated from ongoing operations, but remain relevant for consolidated cash flow and investor perception.</w:t>
      </w:r>
    </w:p>
    <w:p>
      <w:r>
        <w:pict>
          <v:rect style="width:0;height:1.5pt" o:hralign="center" o:hrstd="t" o:hr="t"/>
        </w:pict>
      </w:r>
    </w:p>
    <w:bookmarkEnd w:id="23"/>
    <w:bookmarkStart w:id="24" w:name="investor-takeaway"/>
    <w:p>
      <w:pPr>
        <w:pStyle w:val="Heading2"/>
      </w:pPr>
      <w:r>
        <w:t xml:space="preserve">Investor takeaway</w:t>
      </w:r>
    </w:p>
    <w:p>
      <w:pPr>
        <w:pStyle w:val="FirstParagraph"/>
      </w:pPr>
      <w:r>
        <w:t xml:space="preserve">Vistra’s 2Q26 report is primarily a</w:t>
      </w:r>
      <w:r>
        <w:t xml:space="preserve"> </w:t>
      </w:r>
      <w:r>
        <w:rPr>
          <w:b/>
          <w:bCs/>
        </w:rPr>
        <w:t xml:space="preserve">credibility and forward-earnings-power event</w:t>
      </w:r>
      <w:r>
        <w:t xml:space="preserve">, rather than a conventional quarterly EPS event. The company has already put a heavily hedged 2026 base in place. The stock’s next move is more likely to depend on management’s ability to demonstrate that its post-2026 earnings trajectory is becoming more contracted, more visible, and more durable.</w:t>
      </w:r>
    </w:p>
    <w:p>
      <w:pPr>
        <w:pStyle w:val="BodyText"/>
      </w:pPr>
      <w:r>
        <w:t xml:space="preserve">A favorable report would pair solid summer operations and reaffirmed guidance with a firm Cogentrix closing timetable, evidence of Meta-PPA execution, and tangible progress toward additional nuclear or gas contracts. A merely in-line quarter without incremental visibility into those items may leave the market focused on ERCOT forward-curve skepticism and the timing of AI-driven load growth.</w:t>
      </w:r>
    </w:p>
    <w:p>
      <w:pPr>
        <w:pStyle w:val="BodyText"/>
      </w:pPr>
      <w:r>
        <w:rPr>
          <w:i/>
          <w:iCs/>
        </w:rPr>
        <w:t xml:space="preserve">Sources: Vistra 1Q26 earnings release, 1Q26 earnings-call transcript, 1Q26 Form 10-Q, 2Q25 earnings release, and recent market-price data.</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2026-08-07T00:06:02Z</dcterms:created>
  <dcterms:modified xsi:type="dcterms:W3CDTF">2026-08-07T00:06:02Z</dcterms:modified>
</cp:coreProperties>
</file>

<file path=docProps/custom.xml><?xml version="1.0" encoding="utf-8"?>
<Properties xmlns="http://schemas.openxmlformats.org/officeDocument/2006/custom-properties" xmlns:vt="http://schemas.openxmlformats.org/officeDocument/2006/docPropsVTypes"/>
</file>