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Vistra Corp (VST)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Vistra Corp</w:t>
            </w:r>
          </w:p>
        </w:tc>
      </w:tr>
      <w:tr>
        <w:tc>
          <w:tcPr>
            <w:tcW w:type="dxa" w:w="4320"/>
          </w:tcPr>
          <w:p>
            <w:r>
              <w:rPr>
                <w:rFonts w:ascii="Calibri" w:hAnsi="Calibri"/>
                <w:b/>
                <w:sz w:val="22"/>
              </w:rPr>
              <w:t>Ticker</w:t>
            </w:r>
          </w:p>
        </w:tc>
        <w:tc>
          <w:tcPr>
            <w:tcW w:type="dxa" w:w="4320"/>
          </w:tcPr>
          <w:p>
            <w:r>
              <w:rPr>
                <w:rFonts w:ascii="Calibri" w:hAnsi="Calibri"/>
                <w:sz w:val="22"/>
              </w:rPr>
              <w:t>NYSE: VST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7, 2026</w:t>
            </w:r>
          </w:p>
        </w:tc>
      </w:tr>
      <w:tr>
        <w:tc>
          <w:tcPr>
            <w:tcW w:type="dxa" w:w="4320"/>
          </w:tcPr>
          <w:p>
            <w:r>
              <w:rPr>
                <w:rFonts w:ascii="Calibri" w:hAnsi="Calibri"/>
                <w:b/>
                <w:sz w:val="22"/>
              </w:rPr>
              <w:t>Prepared Date</w:t>
            </w:r>
          </w:p>
        </w:tc>
        <w:tc>
          <w:tcPr>
            <w:tcW w:type="dxa" w:w="4320"/>
          </w:tcPr>
          <w:p>
            <w:r>
              <w:rPr>
                <w:rFonts w:ascii="Calibri" w:hAnsi="Calibri"/>
                <w:sz w:val="22"/>
              </w:rPr>
              <w:t>August 6, 2026</w:t>
            </w:r>
          </w:p>
        </w:tc>
      </w:tr>
      <w:tr>
        <w:tc>
          <w:tcPr>
            <w:tcW w:type="dxa" w:w="4320"/>
          </w:tcPr>
          <w:p>
            <w:r>
              <w:rPr>
                <w:rFonts w:ascii="Calibri" w:hAnsi="Calibri"/>
                <w:b/>
                <w:sz w:val="22"/>
              </w:rPr>
              <w:t>Last Earnings</w:t>
            </w:r>
          </w:p>
        </w:tc>
        <w:tc>
          <w:tcPr>
            <w:tcW w:type="dxa" w:w="4320"/>
          </w:tcPr>
          <w:p>
            <w:r>
              <w:rPr>
                <w:rFonts w:ascii="Calibri" w:hAnsi="Calibri"/>
                <w:sz w:val="22"/>
              </w:rPr>
              <w:t>May 7, 2026 (Q1 2026 — Beat)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moderately constructive — consensus sits at a manageable bar on Adjusted EBITDA (~$1.64B) against a backdrop of reaffirmed full-year guidance, but the single biggest swing factor is </w:t>
      </w:r>
      <w:r>
        <w:rPr>
          <w:rFonts w:ascii="Calibri" w:hAnsi="Calibri"/>
          <w:b/>
          <w:color w:val="525866"/>
          <w:sz w:val="22"/>
        </w:rPr>
        <w:t>ERCOT weather and power price realization</w:t>
      </w:r>
      <w:r>
        <w:rPr>
          <w:rFonts w:ascii="Calibri" w:hAnsi="Calibri"/>
          <w:color w:val="525866"/>
          <w:sz w:val="22"/>
        </w:rPr>
        <w:t xml:space="preserve"> during the quarter, which was the second warmest Q1 on record and may have carried into Q2 softness.</w:t>
      </w:r>
    </w:p>
    <w:p>
      <w:r>
        <w:rPr>
          <w:rFonts w:ascii="Calibri" w:hAnsi="Calibri"/>
          <w:color w:val="525866"/>
          <w:sz w:val="22"/>
        </w:rPr>
        <w:t xml:space="preserve">Heading into Q2 2026, Vistra's setup is one of a company with strong structural tailwinds but near-term commodity noise. </w:t>
      </w:r>
      <w:r>
        <w:rPr>
          <w:rFonts w:ascii="Calibri" w:hAnsi="Calibri"/>
          <w:b/>
          <w:color w:val="525866"/>
          <w:sz w:val="22"/>
        </w:rPr>
        <w:t>Consensus Adjusted EBITDA of ~$1.64B</w:t>
      </w:r>
      <w:r>
        <w:rPr>
          <w:rFonts w:ascii="Calibri" w:hAnsi="Calibri"/>
          <w:color w:val="525866"/>
          <w:sz w:val="22"/>
        </w:rPr>
        <w:t xml:space="preserve"> represents a modest step-up from Q2 2025's $1.35B actual, a bar that appears achievable given higher PJM capacity revenues (the 2028/2029 auction cleared at $325/MW-day for ~10.9 GW of Vistra capacity, announced July 14) and continued nuclear fleet strength. Management's tone on the Q1 call was confident — CEO Jim Burke declared "2026 is off to a fast start" and reaffirmed full-year 2026 Adjusted EBITDA guidance — and there has been no post-earnings guidance revision, suggesting the company is comfortable with the range. Estimate revisions since the Q1 print have been modestly positive for the full year (+1.6% on FY2026 EBITDA) but slightly negative for Q2 specifically (-3.5%), reflecting the market's concern about mild ERCOT weather and soft near-term power curves that peers like NRG and Constellation also flagged. The stock is down ~8% since the Q1 print (vs. XLU -4%, SPY +5%), suggesting the market has already discounted some weather/price softness and the stock is not priced for perfection. The key wildcard is the </w:t>
      </w:r>
      <w:r>
        <w:rPr>
          <w:rFonts w:ascii="Calibri" w:hAnsi="Calibri"/>
          <w:b/>
          <w:color w:val="525866"/>
          <w:sz w:val="22"/>
        </w:rPr>
        <w:t>Cogentrix acquisition close timing and any incremental nuclear contracting announcement</w:t>
      </w:r>
      <w:r>
        <w:rPr>
          <w:rFonts w:ascii="Calibri" w:hAnsi="Calibri"/>
          <w:color w:val="525866"/>
          <w:sz w:val="22"/>
        </w:rPr>
        <w:t xml:space="preserve"> — either could serve as a positive catalyst that resets the narrative from near-term weather noise to long-term structural value creation.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Adjusted EBITDA (~$1.64B vs. $1.35B in Q2 2025, +21% YoY), but the bar on EPS ($1.51) is well below Q2 2025's $0.81 actual on a reported basis — </w:t>
      </w:r>
      <w:r>
        <w:rPr>
          <w:rFonts w:ascii="Calibri" w:hAnsi="Calibri"/>
          <w:b/>
          <w:color w:val="525866"/>
          <w:sz w:val="22"/>
        </w:rPr>
        <w:t>Adjusted EBITDA is the primary swing factor</w:t>
      </w:r>
      <w:r>
        <w:rPr>
          <w:rFonts w:ascii="Calibri" w:hAnsi="Calibri"/>
          <w:color w:val="525866"/>
          <w:sz w:val="22"/>
        </w:rPr>
        <w:t xml:space="preserve"> and the metric management guides to; EPS is noisy due to mark-to-market derivatives.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 ($B)</w:t>
            </w:r>
          </w:p>
        </w:tc>
        <w:tc>
          <w:tcPr>
            <w:tcW w:type="dxa" w:w="1234"/>
          </w:tcPr>
          <w:p>
            <w:r>
              <w:rPr>
                <w:rFonts w:ascii="Calibri" w:hAnsi="Calibri"/>
                <w:sz w:val="22"/>
              </w:rPr>
              <w:t>$1.494B</w:t>
            </w:r>
          </w:p>
        </w:tc>
        <w:tc>
          <w:tcPr>
            <w:tcW w:type="dxa" w:w="1234"/>
          </w:tcPr>
          <w:p>
            <w:r>
              <w:rPr>
                <w:rFonts w:ascii="Calibri" w:hAnsi="Calibri"/>
                <w:sz w:val="22"/>
              </w:rPr>
              <w:t>$1.349B</w:t>
            </w:r>
          </w:p>
        </w:tc>
        <w:tc>
          <w:tcPr>
            <w:tcW w:type="dxa" w:w="1234"/>
          </w:tcPr>
          <w:p>
            <w:r>
              <w:rPr>
                <w:rFonts w:ascii="Calibri" w:hAnsi="Calibri"/>
                <w:sz w:val="22"/>
              </w:rPr>
              <w:t>$1.638B</w:t>
            </w:r>
          </w:p>
        </w:tc>
        <w:tc>
          <w:tcPr>
            <w:tcW w:type="dxa" w:w="1234"/>
          </w:tcPr>
          <w:p>
            <w:r>
              <w:rPr>
                <w:rFonts w:ascii="Calibri" w:hAnsi="Calibri"/>
                <w:b/>
                <w:color w:val="30A46C"/>
                <w:sz w:val="22"/>
              </w:rPr>
              <w:t>+21.4%</w:t>
            </w:r>
          </w:p>
        </w:tc>
        <w:tc>
          <w:tcPr>
            <w:tcW w:type="dxa" w:w="1234"/>
          </w:tcPr>
          <w:p>
            <w:r>
              <w:rPr>
                <w:rFonts w:ascii="Calibri" w:hAnsi="Calibri"/>
                <w:sz w:val="22"/>
              </w:rPr>
              <w:t>FY2026: $6.5B–$7.5B (midpoint $7.0B); no Q2-specific guidance</w:t>
            </w:r>
          </w:p>
        </w:tc>
        <w:tc>
          <w:tcPr>
            <w:tcW w:type="dxa" w:w="1234"/>
          </w:tcPr>
          <w:p>
            <w:r>
              <w:rPr>
                <w:rFonts w:ascii="Calibri" w:hAnsi="Calibri"/>
                <w:sz w:val="22"/>
              </w:rPr>
              <w:t>N/A (no Q2 guidance)</w:t>
            </w:r>
          </w:p>
        </w:tc>
      </w:tr>
      <w:tr>
        <w:tc>
          <w:tcPr>
            <w:tcW w:type="dxa" w:w="1234"/>
          </w:tcPr>
          <w:p>
            <w:r>
              <w:rPr>
                <w:rFonts w:ascii="Calibri" w:hAnsi="Calibri"/>
                <w:sz w:val="22"/>
              </w:rPr>
              <w:t>Total Revenue ($B)</w:t>
            </w:r>
          </w:p>
        </w:tc>
        <w:tc>
          <w:tcPr>
            <w:tcW w:type="dxa" w:w="1234"/>
          </w:tcPr>
          <w:p>
            <w:r>
              <w:rPr>
                <w:rFonts w:ascii="Calibri" w:hAnsi="Calibri"/>
                <w:sz w:val="22"/>
              </w:rPr>
              <w:t>$5.640B</w:t>
            </w:r>
          </w:p>
        </w:tc>
        <w:tc>
          <w:tcPr>
            <w:tcW w:type="dxa" w:w="1234"/>
          </w:tcPr>
          <w:p>
            <w:r>
              <w:rPr>
                <w:rFonts w:ascii="Calibri" w:hAnsi="Calibri"/>
                <w:sz w:val="22"/>
              </w:rPr>
              <w:t>$4.250B</w:t>
            </w:r>
          </w:p>
        </w:tc>
        <w:tc>
          <w:tcPr>
            <w:tcW w:type="dxa" w:w="1234"/>
          </w:tcPr>
          <w:p>
            <w:r>
              <w:rPr>
                <w:rFonts w:ascii="Calibri" w:hAnsi="Calibri"/>
                <w:sz w:val="22"/>
              </w:rPr>
              <w:t>$5.513B</w:t>
            </w:r>
          </w:p>
        </w:tc>
        <w:tc>
          <w:tcPr>
            <w:tcW w:type="dxa" w:w="1234"/>
          </w:tcPr>
          <w:p>
            <w:r>
              <w:rPr>
                <w:rFonts w:ascii="Calibri" w:hAnsi="Calibri"/>
                <w:b/>
                <w:color w:val="30A46C"/>
                <w:sz w:val="22"/>
              </w:rPr>
              <w:t>+29.7%</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EPS — Diluted ($)</w:t>
            </w:r>
          </w:p>
        </w:tc>
        <w:tc>
          <w:tcPr>
            <w:tcW w:type="dxa" w:w="1234"/>
          </w:tcPr>
          <w:p>
            <w:r>
              <w:rPr>
                <w:rFonts w:ascii="Calibri" w:hAnsi="Calibri"/>
                <w:sz w:val="22"/>
              </w:rPr>
              <w:t>$2.87</w:t>
            </w:r>
          </w:p>
        </w:tc>
        <w:tc>
          <w:tcPr>
            <w:tcW w:type="dxa" w:w="1234"/>
          </w:tcPr>
          <w:p>
            <w:r>
              <w:rPr>
                <w:rFonts w:ascii="Calibri" w:hAnsi="Calibri"/>
                <w:sz w:val="22"/>
              </w:rPr>
              <w:t>$0.81</w:t>
            </w:r>
          </w:p>
        </w:tc>
        <w:tc>
          <w:tcPr>
            <w:tcW w:type="dxa" w:w="1234"/>
          </w:tcPr>
          <w:p>
            <w:r>
              <w:rPr>
                <w:rFonts w:ascii="Calibri" w:hAnsi="Calibri"/>
                <w:sz w:val="22"/>
              </w:rPr>
              <w:t>$1.51</w:t>
            </w:r>
          </w:p>
        </w:tc>
        <w:tc>
          <w:tcPr>
            <w:tcW w:type="dxa" w:w="1234"/>
          </w:tcPr>
          <w:p>
            <w:r>
              <w:rPr>
                <w:rFonts w:ascii="Calibri" w:hAnsi="Calibri"/>
                <w:b/>
                <w:color w:val="30A46C"/>
                <w:sz w:val="22"/>
              </w:rPr>
              <w:t>+86.4%</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Capacity Revenue ($M)</w:t>
            </w:r>
          </w:p>
        </w:tc>
        <w:tc>
          <w:tcPr>
            <w:tcW w:type="dxa" w:w="1234"/>
          </w:tcPr>
          <w:p>
            <w:r>
              <w:rPr>
                <w:rFonts w:ascii="Calibri" w:hAnsi="Calibri"/>
                <w:sz w:val="22"/>
              </w:rPr>
              <w:t>$122M</w:t>
            </w:r>
          </w:p>
        </w:tc>
        <w:tc>
          <w:tcPr>
            <w:tcW w:type="dxa" w:w="1234"/>
          </w:tcPr>
          <w:p>
            <w:r>
              <w:rPr>
                <w:rFonts w:ascii="Calibri" w:hAnsi="Calibri"/>
                <w:sz w:val="22"/>
              </w:rPr>
              <w:t>$130M</w:t>
            </w:r>
          </w:p>
        </w:tc>
        <w:tc>
          <w:tcPr>
            <w:tcW w:type="dxa" w:w="1234"/>
          </w:tcPr>
          <w:p>
            <w:r>
              <w:rPr>
                <w:rFonts w:ascii="Calibri" w:hAnsi="Calibri"/>
                <w:sz w:val="22"/>
              </w:rPr>
              <w:t>$402M</w:t>
            </w:r>
          </w:p>
        </w:tc>
        <w:tc>
          <w:tcPr>
            <w:tcW w:type="dxa" w:w="1234"/>
          </w:tcPr>
          <w:p>
            <w:r>
              <w:rPr>
                <w:rFonts w:ascii="Calibri" w:hAnsi="Calibri"/>
                <w:b/>
                <w:color w:val="30A46C"/>
                <w:sz w:val="22"/>
              </w:rPr>
              <w:t>+209%</w:t>
            </w:r>
          </w:p>
        </w:tc>
        <w:tc>
          <w:tcPr>
            <w:tcW w:type="dxa" w:w="1234"/>
          </w:tcPr>
          <w:p>
            <w:r>
              <w:rPr>
                <w:rFonts w:ascii="Calibri" w:hAnsi="Calibri"/>
                <w:sz w:val="22"/>
              </w:rPr>
              <w:t>No Q2-specific guidance</w:t>
            </w:r>
          </w:p>
        </w:tc>
        <w:tc>
          <w:tcPr>
            <w:tcW w:type="dxa" w:w="1234"/>
          </w:tcPr>
          <w:p>
            <w:r>
              <w:rPr>
                <w:rFonts w:ascii="Calibri" w:hAnsi="Calibri"/>
                <w:sz w:val="22"/>
              </w:rPr>
              <w:t>N/A</w:t>
            </w:r>
          </w:p>
        </w:tc>
      </w:tr>
      <w:tr>
        <w:tc>
          <w:tcPr>
            <w:tcW w:type="dxa" w:w="1234"/>
          </w:tcPr>
          <w:p>
            <w:r>
              <w:rPr>
                <w:rFonts w:ascii="Calibri" w:hAnsi="Calibri"/>
                <w:sz w:val="22"/>
              </w:rPr>
              <w:t>Capital Expenditures ($M)</w:t>
            </w:r>
          </w:p>
        </w:tc>
        <w:tc>
          <w:tcPr>
            <w:tcW w:type="dxa" w:w="1234"/>
          </w:tcPr>
          <w:p>
            <w:r>
              <w:rPr>
                <w:rFonts w:ascii="Calibri" w:hAnsi="Calibri"/>
                <w:sz w:val="22"/>
              </w:rPr>
              <w:t>$883M</w:t>
            </w:r>
          </w:p>
        </w:tc>
        <w:tc>
          <w:tcPr>
            <w:tcW w:type="dxa" w:w="1234"/>
          </w:tcPr>
          <w:p>
            <w:r>
              <w:rPr>
                <w:rFonts w:ascii="Calibri" w:hAnsi="Calibri"/>
                <w:sz w:val="22"/>
              </w:rPr>
              <w:t>$690M</w:t>
            </w:r>
          </w:p>
        </w:tc>
        <w:tc>
          <w:tcPr>
            <w:tcW w:type="dxa" w:w="1234"/>
          </w:tcPr>
          <w:p>
            <w:r>
              <w:rPr>
                <w:rFonts w:ascii="Calibri" w:hAnsi="Calibri"/>
                <w:sz w:val="22"/>
              </w:rPr>
              <w:t>$497M</w:t>
            </w:r>
          </w:p>
        </w:tc>
        <w:tc>
          <w:tcPr>
            <w:tcW w:type="dxa" w:w="1234"/>
          </w:tcPr>
          <w:p>
            <w:r>
              <w:rPr>
                <w:rFonts w:ascii="Calibri" w:hAnsi="Calibri"/>
                <w:b/>
                <w:color w:val="E5484D"/>
                <w:sz w:val="22"/>
              </w:rPr>
              <w:t>-28.0%</w:t>
            </w:r>
          </w:p>
        </w:tc>
        <w:tc>
          <w:tcPr>
            <w:tcW w:type="dxa" w:w="1234"/>
          </w:tcPr>
          <w:p>
            <w:r>
              <w:rPr>
                <w:rFonts w:ascii="Calibri" w:hAnsi="Calibri"/>
                <w:sz w:val="22"/>
              </w:rPr>
              <w:t>FY2026: ~$2.1B</w:t>
            </w:r>
          </w:p>
        </w:tc>
        <w:tc>
          <w:tcPr>
            <w:tcW w:type="dxa" w:w="1234"/>
          </w:tcPr>
          <w:p>
            <w:r>
              <w:rPr>
                <w:rFonts w:ascii="Calibri" w:hAnsi="Calibri"/>
                <w:sz w:val="22"/>
              </w:rPr>
              <w:t>N/A (FY only)</w:t>
            </w:r>
          </w:p>
        </w:tc>
      </w:tr>
    </w:tbl>
    <w:p>
      <w:r>
        <w:rPr>
          <w:rFonts w:ascii="Calibri" w:hAnsi="Calibri"/>
          <w:i/>
          <w:color w:val="525866"/>
          <w:sz w:val="22"/>
        </w:rPr>
        <w:t>Source: Visible Alpha Consensus and Actuals Data. All consensus figures as of latest available (August 2026). Q2 2026 Adjusted EBITDA consensus of $1.638B; Total Revenue consensus of $5.513B; EPS consensus of $1.51; Capacity Revenue consensus of $402M; CapEx consensus of $497M.</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Adjusted EBITDA and EPS —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$1.494B</w:t>
            </w:r>
          </w:p>
        </w:tc>
        <w:tc>
          <w:tcPr>
            <w:tcW w:type="dxa" w:w="1440"/>
          </w:tcPr>
          <w:p>
            <w:r>
              <w:rPr>
                <w:rFonts w:ascii="Calibri" w:hAnsi="Calibri"/>
                <w:sz w:val="22"/>
              </w:rPr>
              <w:t>$1.478B</w:t>
            </w:r>
          </w:p>
        </w:tc>
        <w:tc>
          <w:tcPr>
            <w:tcW w:type="dxa" w:w="1440"/>
          </w:tcPr>
          <w:p>
            <w:r>
              <w:rPr>
                <w:rFonts w:ascii="Calibri" w:hAnsi="Calibri"/>
                <w:b/>
                <w:color w:val="30A46C"/>
                <w:sz w:val="22"/>
              </w:rPr>
              <w:t>+1.1%</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EPS — Diluted</w:t>
            </w:r>
          </w:p>
        </w:tc>
        <w:tc>
          <w:tcPr>
            <w:tcW w:type="dxa" w:w="1440"/>
          </w:tcPr>
          <w:p>
            <w:r>
              <w:rPr>
                <w:rFonts w:ascii="Calibri" w:hAnsi="Calibri"/>
                <w:sz w:val="22"/>
              </w:rPr>
              <w:t>$2.87</w:t>
            </w:r>
          </w:p>
        </w:tc>
        <w:tc>
          <w:tcPr>
            <w:tcW w:type="dxa" w:w="1440"/>
          </w:tcPr>
          <w:p>
            <w:r>
              <w:rPr>
                <w:rFonts w:ascii="Calibri" w:hAnsi="Calibri"/>
                <w:sz w:val="22"/>
              </w:rPr>
              <w:t>$2.12</w:t>
            </w:r>
          </w:p>
        </w:tc>
        <w:tc>
          <w:tcPr>
            <w:tcW w:type="dxa" w:w="1440"/>
          </w:tcPr>
          <w:p>
            <w:r>
              <w:rPr>
                <w:rFonts w:ascii="Calibri" w:hAnsi="Calibri"/>
                <w:b/>
                <w:color w:val="30A46C"/>
                <w:sz w:val="22"/>
              </w:rPr>
              <w:t>+35.4%</w:t>
            </w:r>
          </w:p>
        </w:tc>
        <w:tc>
          <w:tcPr>
            <w:tcW w:type="dxa" w:w="1440"/>
          </w:tcPr>
          <w:p>
            <w:r>
              <w:rPr>
                <w:rFonts w:ascii="Calibri" w:hAnsi="Calibri"/>
                <w:b/>
                <w:sz w:val="22"/>
              </w:rPr>
              <w:t>Large 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$1.726B</w:t>
            </w:r>
          </w:p>
        </w:tc>
        <w:tc>
          <w:tcPr>
            <w:tcW w:type="dxa" w:w="1440"/>
          </w:tcPr>
          <w:p>
            <w:r>
              <w:rPr>
                <w:rFonts w:ascii="Calibri" w:hAnsi="Calibri"/>
                <w:sz w:val="22"/>
              </w:rPr>
              <w:t>$1.683B</w:t>
            </w:r>
          </w:p>
        </w:tc>
        <w:tc>
          <w:tcPr>
            <w:tcW w:type="dxa" w:w="1440"/>
          </w:tcPr>
          <w:p>
            <w:r>
              <w:rPr>
                <w:rFonts w:ascii="Calibri" w:hAnsi="Calibri"/>
                <w:b/>
                <w:color w:val="30A46C"/>
                <w:sz w:val="22"/>
              </w:rPr>
              <w:t>+2.6%</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EPS — Diluted</w:t>
            </w:r>
          </w:p>
        </w:tc>
        <w:tc>
          <w:tcPr>
            <w:tcW w:type="dxa" w:w="1440"/>
          </w:tcPr>
          <w:p>
            <w:r>
              <w:rPr>
                <w:rFonts w:ascii="Calibri" w:hAnsi="Calibri"/>
                <w:sz w:val="22"/>
              </w:rPr>
              <w:t>$0.55</w:t>
            </w:r>
          </w:p>
        </w:tc>
        <w:tc>
          <w:tcPr>
            <w:tcW w:type="dxa" w:w="1440"/>
          </w:tcPr>
          <w:p>
            <w:r>
              <w:rPr>
                <w:rFonts w:ascii="Calibri" w:hAnsi="Calibri"/>
                <w:sz w:val="22"/>
              </w:rPr>
              <w:t>$3.09</w:t>
            </w:r>
          </w:p>
        </w:tc>
        <w:tc>
          <w:tcPr>
            <w:tcW w:type="dxa" w:w="1440"/>
          </w:tcPr>
          <w:p>
            <w:r>
              <w:rPr>
                <w:rFonts w:ascii="Calibri" w:hAnsi="Calibri"/>
                <w:b/>
                <w:color w:val="E5484D"/>
                <w:sz w:val="22"/>
              </w:rPr>
              <w:t>-82.2%</w:t>
            </w:r>
          </w:p>
        </w:tc>
        <w:tc>
          <w:tcPr>
            <w:tcW w:type="dxa" w:w="1440"/>
          </w:tcPr>
          <w:p>
            <w:r>
              <w:rPr>
                <w:rFonts w:ascii="Calibri" w:hAnsi="Calibri"/>
                <w:b/>
                <w:sz w:val="22"/>
              </w:rPr>
              <w:t>Miss (MTM)</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$1.564B</w:t>
            </w:r>
          </w:p>
        </w:tc>
        <w:tc>
          <w:tcPr>
            <w:tcW w:type="dxa" w:w="1440"/>
          </w:tcPr>
          <w:p>
            <w:r>
              <w:rPr>
                <w:rFonts w:ascii="Calibri" w:hAnsi="Calibri"/>
                <w:sz w:val="22"/>
              </w:rPr>
              <w:t>$1.741B</w:t>
            </w:r>
          </w:p>
        </w:tc>
        <w:tc>
          <w:tcPr>
            <w:tcW w:type="dxa" w:w="1440"/>
          </w:tcPr>
          <w:p>
            <w:r>
              <w:rPr>
                <w:rFonts w:ascii="Calibri" w:hAnsi="Calibri"/>
                <w:b/>
                <w:color w:val="E5484D"/>
                <w:sz w:val="22"/>
              </w:rPr>
              <w:t>-10.2%</w:t>
            </w:r>
          </w:p>
        </w:tc>
        <w:tc>
          <w:tcPr>
            <w:tcW w:type="dxa" w:w="1440"/>
          </w:tcPr>
          <w:p>
            <w:r>
              <w:rPr>
                <w:rFonts w:ascii="Calibri" w:hAnsi="Calibri"/>
                <w:b/>
                <w:sz w:val="22"/>
              </w:rPr>
              <w:t>Miss</w:t>
            </w:r>
          </w:p>
        </w:tc>
      </w:tr>
      <w:tr>
        <w:tc>
          <w:tcPr>
            <w:tcW w:type="dxa" w:w="1440"/>
          </w:tcPr>
          <w:p>
            <w:r>
              <w:rPr>
                <w:rFonts w:ascii="Calibri" w:hAnsi="Calibri"/>
                <w:sz w:val="22"/>
              </w:rPr>
              <w:t>Q3 2025</w:t>
            </w:r>
          </w:p>
        </w:tc>
        <w:tc>
          <w:tcPr>
            <w:tcW w:type="dxa" w:w="1440"/>
          </w:tcPr>
          <w:p>
            <w:r>
              <w:rPr>
                <w:rFonts w:ascii="Calibri" w:hAnsi="Calibri"/>
                <w:sz w:val="22"/>
              </w:rPr>
              <w:t>EPS — Diluted</w:t>
            </w:r>
          </w:p>
        </w:tc>
        <w:tc>
          <w:tcPr>
            <w:tcW w:type="dxa" w:w="1440"/>
          </w:tcPr>
          <w:p>
            <w:r>
              <w:rPr>
                <w:rFonts w:ascii="Calibri" w:hAnsi="Calibri"/>
                <w:sz w:val="22"/>
              </w:rPr>
              <w:t>$1.75</w:t>
            </w:r>
          </w:p>
        </w:tc>
        <w:tc>
          <w:tcPr>
            <w:tcW w:type="dxa" w:w="1440"/>
          </w:tcPr>
          <w:p>
            <w:r>
              <w:rPr>
                <w:rFonts w:ascii="Calibri" w:hAnsi="Calibri"/>
                <w:sz w:val="22"/>
              </w:rPr>
              <w:t>$2.64</w:t>
            </w:r>
          </w:p>
        </w:tc>
        <w:tc>
          <w:tcPr>
            <w:tcW w:type="dxa" w:w="1440"/>
          </w:tcPr>
          <w:p>
            <w:r>
              <w:rPr>
                <w:rFonts w:ascii="Calibri" w:hAnsi="Calibri"/>
                <w:b/>
                <w:color w:val="E5484D"/>
                <w:sz w:val="22"/>
              </w:rPr>
              <w:t>-33.7%</w:t>
            </w:r>
          </w:p>
        </w:tc>
        <w:tc>
          <w:tcPr>
            <w:tcW w:type="dxa" w:w="1440"/>
          </w:tcPr>
          <w:p>
            <w:r>
              <w:rPr>
                <w:rFonts w:ascii="Calibri" w:hAnsi="Calibri"/>
                <w:b/>
                <w:sz w:val="22"/>
              </w:rPr>
              <w:t>Miss (MTM)</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$1.349B</w:t>
            </w:r>
          </w:p>
        </w:tc>
        <w:tc>
          <w:tcPr>
            <w:tcW w:type="dxa" w:w="1440"/>
          </w:tcPr>
          <w:p>
            <w:r>
              <w:rPr>
                <w:rFonts w:ascii="Calibri" w:hAnsi="Calibri"/>
                <w:sz w:val="22"/>
              </w:rPr>
              <w:t>$1.383B</w:t>
            </w:r>
          </w:p>
        </w:tc>
        <w:tc>
          <w:tcPr>
            <w:tcW w:type="dxa" w:w="1440"/>
          </w:tcPr>
          <w:p>
            <w:r>
              <w:rPr>
                <w:rFonts w:ascii="Calibri" w:hAnsi="Calibri"/>
                <w:b/>
                <w:color w:val="E5484D"/>
                <w:sz w:val="22"/>
              </w:rPr>
              <w:t>-2.5%</w:t>
            </w:r>
          </w:p>
        </w:tc>
        <w:tc>
          <w:tcPr>
            <w:tcW w:type="dxa" w:w="1440"/>
          </w:tcPr>
          <w:p>
            <w:r>
              <w:rPr>
                <w:rFonts w:ascii="Calibri" w:hAnsi="Calibri"/>
                <w:b/>
                <w:sz w:val="22"/>
              </w:rPr>
              <w:t>Slight Miss</w:t>
            </w:r>
          </w:p>
        </w:tc>
      </w:tr>
      <w:tr>
        <w:tc>
          <w:tcPr>
            <w:tcW w:type="dxa" w:w="1440"/>
          </w:tcPr>
          <w:p>
            <w:r>
              <w:rPr>
                <w:rFonts w:ascii="Calibri" w:hAnsi="Calibri"/>
                <w:sz w:val="22"/>
              </w:rPr>
              <w:t>Q2 2025</w:t>
            </w:r>
          </w:p>
        </w:tc>
        <w:tc>
          <w:tcPr>
            <w:tcW w:type="dxa" w:w="1440"/>
          </w:tcPr>
          <w:p>
            <w:r>
              <w:rPr>
                <w:rFonts w:ascii="Calibri" w:hAnsi="Calibri"/>
                <w:sz w:val="22"/>
              </w:rPr>
              <w:t>EPS — Diluted</w:t>
            </w:r>
          </w:p>
        </w:tc>
        <w:tc>
          <w:tcPr>
            <w:tcW w:type="dxa" w:w="1440"/>
          </w:tcPr>
          <w:p>
            <w:r>
              <w:rPr>
                <w:rFonts w:ascii="Calibri" w:hAnsi="Calibri"/>
                <w:sz w:val="22"/>
              </w:rPr>
              <w:t>$0.81</w:t>
            </w:r>
          </w:p>
        </w:tc>
        <w:tc>
          <w:tcPr>
            <w:tcW w:type="dxa" w:w="1440"/>
          </w:tcPr>
          <w:p>
            <w:r>
              <w:rPr>
                <w:rFonts w:ascii="Calibri" w:hAnsi="Calibri"/>
                <w:sz w:val="22"/>
              </w:rPr>
              <w:t>$0.98</w:t>
            </w:r>
          </w:p>
        </w:tc>
        <w:tc>
          <w:tcPr>
            <w:tcW w:type="dxa" w:w="1440"/>
          </w:tcPr>
          <w:p>
            <w:r>
              <w:rPr>
                <w:rFonts w:ascii="Calibri" w:hAnsi="Calibri"/>
                <w:b/>
                <w:color w:val="E5484D"/>
                <w:sz w:val="22"/>
              </w:rPr>
              <w:t>-17.3%</w:t>
            </w:r>
          </w:p>
        </w:tc>
        <w:tc>
          <w:tcPr>
            <w:tcW w:type="dxa" w:w="1440"/>
          </w:tcPr>
          <w:p>
            <w:r>
              <w:rPr>
                <w:rFonts w:ascii="Calibri" w:hAnsi="Calibri"/>
                <w:b/>
                <w:sz w:val="22"/>
              </w:rPr>
              <w:t>Miss (MTM)</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$1.240B</w:t>
            </w:r>
          </w:p>
        </w:tc>
        <w:tc>
          <w:tcPr>
            <w:tcW w:type="dxa" w:w="1440"/>
          </w:tcPr>
          <w:p>
            <w:r>
              <w:rPr>
                <w:rFonts w:ascii="Calibri" w:hAnsi="Calibri"/>
                <w:sz w:val="22"/>
              </w:rPr>
              <w:t>$1.065B</w:t>
            </w:r>
          </w:p>
        </w:tc>
        <w:tc>
          <w:tcPr>
            <w:tcW w:type="dxa" w:w="1440"/>
          </w:tcPr>
          <w:p>
            <w:r>
              <w:rPr>
                <w:rFonts w:ascii="Calibri" w:hAnsi="Calibri"/>
                <w:b/>
                <w:color w:val="30A46C"/>
                <w:sz w:val="22"/>
              </w:rPr>
              <w:t>+16.4%</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EPS — Diluted</w:t>
            </w:r>
          </w:p>
        </w:tc>
        <w:tc>
          <w:tcPr>
            <w:tcW w:type="dxa" w:w="1440"/>
          </w:tcPr>
          <w:p>
            <w:r>
              <w:rPr>
                <w:rFonts w:ascii="Calibri" w:hAnsi="Calibri"/>
                <w:sz w:val="22"/>
              </w:rPr>
              <w:t>-$0.93</w:t>
            </w:r>
          </w:p>
        </w:tc>
        <w:tc>
          <w:tcPr>
            <w:tcW w:type="dxa" w:w="1440"/>
          </w:tcPr>
          <w:p>
            <w:r>
              <w:rPr>
                <w:rFonts w:ascii="Calibri" w:hAnsi="Calibri"/>
                <w:sz w:val="22"/>
              </w:rPr>
              <w:t>$0.85</w:t>
            </w:r>
          </w:p>
        </w:tc>
        <w:tc>
          <w:tcPr>
            <w:tcW w:type="dxa" w:w="1440"/>
          </w:tcPr>
          <w:p>
            <w:r>
              <w:rPr>
                <w:rFonts w:ascii="Calibri" w:hAnsi="Calibri"/>
                <w:b/>
                <w:color w:val="E5484D"/>
                <w:sz w:val="22"/>
              </w:rPr>
              <w:t>N/M</w:t>
            </w:r>
          </w:p>
        </w:tc>
        <w:tc>
          <w:tcPr>
            <w:tcW w:type="dxa" w:w="1440"/>
          </w:tcPr>
          <w:p>
            <w:r>
              <w:rPr>
                <w:rFonts w:ascii="Calibri" w:hAnsi="Calibri"/>
                <w:b/>
                <w:sz w:val="22"/>
              </w:rPr>
              <w:t>Miss (MTM)</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$1.934B</w:t>
            </w:r>
          </w:p>
        </w:tc>
        <w:tc>
          <w:tcPr>
            <w:tcW w:type="dxa" w:w="1440"/>
          </w:tcPr>
          <w:p>
            <w:r>
              <w:rPr>
                <w:rFonts w:ascii="Calibri" w:hAnsi="Calibri"/>
                <w:sz w:val="22"/>
              </w:rPr>
              <w:t>$1.588B</w:t>
            </w:r>
          </w:p>
        </w:tc>
        <w:tc>
          <w:tcPr>
            <w:tcW w:type="dxa" w:w="1440"/>
          </w:tcPr>
          <w:p>
            <w:r>
              <w:rPr>
                <w:rFonts w:ascii="Calibri" w:hAnsi="Calibri"/>
                <w:b/>
                <w:color w:val="30A46C"/>
                <w:sz w:val="22"/>
              </w:rPr>
              <w:t>+21.8%</w:t>
            </w:r>
          </w:p>
        </w:tc>
        <w:tc>
          <w:tcPr>
            <w:tcW w:type="dxa" w:w="1440"/>
          </w:tcPr>
          <w:p>
            <w:r>
              <w:rPr>
                <w:rFonts w:ascii="Calibri" w:hAnsi="Calibri"/>
                <w:b/>
                <w:sz w:val="22"/>
              </w:rPr>
              <w:t>Large Beat</w:t>
            </w:r>
          </w:p>
        </w:tc>
      </w:tr>
      <w:tr>
        <w:tc>
          <w:tcPr>
            <w:tcW w:type="dxa" w:w="1440"/>
          </w:tcPr>
          <w:p>
            <w:r>
              <w:rPr>
                <w:rFonts w:ascii="Calibri" w:hAnsi="Calibri"/>
                <w:sz w:val="22"/>
              </w:rPr>
              <w:t>Q4 2024</w:t>
            </w:r>
          </w:p>
        </w:tc>
        <w:tc>
          <w:tcPr>
            <w:tcW w:type="dxa" w:w="1440"/>
          </w:tcPr>
          <w:p>
            <w:r>
              <w:rPr>
                <w:rFonts w:ascii="Calibri" w:hAnsi="Calibri"/>
                <w:sz w:val="22"/>
              </w:rPr>
              <w:t>EPS — Diluted</w:t>
            </w:r>
          </w:p>
        </w:tc>
        <w:tc>
          <w:tcPr>
            <w:tcW w:type="dxa" w:w="1440"/>
          </w:tcPr>
          <w:p>
            <w:r>
              <w:rPr>
                <w:rFonts w:ascii="Calibri" w:hAnsi="Calibri"/>
                <w:sz w:val="22"/>
              </w:rPr>
              <w:t>$1.09</w:t>
            </w:r>
          </w:p>
        </w:tc>
        <w:tc>
          <w:tcPr>
            <w:tcW w:type="dxa" w:w="1440"/>
          </w:tcPr>
          <w:p>
            <w:r>
              <w:rPr>
                <w:rFonts w:ascii="Calibri" w:hAnsi="Calibri"/>
                <w:sz w:val="22"/>
              </w:rPr>
              <w:t>$0.79</w:t>
            </w:r>
          </w:p>
        </w:tc>
        <w:tc>
          <w:tcPr>
            <w:tcW w:type="dxa" w:w="1440"/>
          </w:tcPr>
          <w:p>
            <w:r>
              <w:rPr>
                <w:rFonts w:ascii="Calibri" w:hAnsi="Calibri"/>
                <w:b/>
                <w:color w:val="30A46C"/>
                <w:sz w:val="22"/>
              </w:rPr>
              <w:t>+38.0%</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$1.427B</w:t>
            </w:r>
          </w:p>
        </w:tc>
        <w:tc>
          <w:tcPr>
            <w:tcW w:type="dxa" w:w="1440"/>
          </w:tcPr>
          <w:p>
            <w:r>
              <w:rPr>
                <w:rFonts w:ascii="Calibri" w:hAnsi="Calibri"/>
                <w:sz w:val="22"/>
              </w:rPr>
              <w:t>$1.372B</w:t>
            </w:r>
          </w:p>
        </w:tc>
        <w:tc>
          <w:tcPr>
            <w:tcW w:type="dxa" w:w="1440"/>
          </w:tcPr>
          <w:p>
            <w:r>
              <w:rPr>
                <w:rFonts w:ascii="Calibri" w:hAnsi="Calibri"/>
                <w:b/>
                <w:color w:val="30A46C"/>
                <w:sz w:val="22"/>
              </w:rPr>
              <w:t>+4.0%</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EPS — Diluted</w:t>
            </w:r>
          </w:p>
        </w:tc>
        <w:tc>
          <w:tcPr>
            <w:tcW w:type="dxa" w:w="1440"/>
          </w:tcPr>
          <w:p>
            <w:r>
              <w:rPr>
                <w:rFonts w:ascii="Calibri" w:hAnsi="Calibri"/>
                <w:sz w:val="22"/>
              </w:rPr>
              <w:t>$5.25</w:t>
            </w:r>
          </w:p>
        </w:tc>
        <w:tc>
          <w:tcPr>
            <w:tcW w:type="dxa" w:w="1440"/>
          </w:tcPr>
          <w:p>
            <w:r>
              <w:rPr>
                <w:rFonts w:ascii="Calibri" w:hAnsi="Calibri"/>
                <w:sz w:val="22"/>
              </w:rPr>
              <w:t>$1.27</w:t>
            </w:r>
          </w:p>
        </w:tc>
        <w:tc>
          <w:tcPr>
            <w:tcW w:type="dxa" w:w="1440"/>
          </w:tcPr>
          <w:p>
            <w:r>
              <w:rPr>
                <w:rFonts w:ascii="Calibri" w:hAnsi="Calibri"/>
                <w:b/>
                <w:color w:val="30A46C"/>
                <w:sz w:val="22"/>
              </w:rPr>
              <w:t>+313%</w:t>
            </w:r>
          </w:p>
        </w:tc>
        <w:tc>
          <w:tcPr>
            <w:tcW w:type="dxa" w:w="1440"/>
          </w:tcPr>
          <w:p>
            <w:r>
              <w:rPr>
                <w:rFonts w:ascii="Calibri" w:hAnsi="Calibri"/>
                <w:b/>
                <w:sz w:val="22"/>
              </w:rPr>
              <w:t>Large Beat</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$1.388B</w:t>
            </w:r>
          </w:p>
        </w:tc>
        <w:tc>
          <w:tcPr>
            <w:tcW w:type="dxa" w:w="1440"/>
          </w:tcPr>
          <w:p>
            <w:r>
              <w:rPr>
                <w:rFonts w:ascii="Calibri" w:hAnsi="Calibri"/>
                <w:sz w:val="22"/>
              </w:rPr>
              <w:t>$0.550B</w:t>
            </w:r>
          </w:p>
        </w:tc>
        <w:tc>
          <w:tcPr>
            <w:tcW w:type="dxa" w:w="1440"/>
          </w:tcPr>
          <w:p>
            <w:r>
              <w:rPr>
                <w:rFonts w:ascii="Calibri" w:hAnsi="Calibri"/>
                <w:b/>
                <w:color w:val="30A46C"/>
                <w:sz w:val="22"/>
              </w:rPr>
              <w:t>+152%</w:t>
            </w:r>
          </w:p>
        </w:tc>
        <w:tc>
          <w:tcPr>
            <w:tcW w:type="dxa" w:w="1440"/>
          </w:tcPr>
          <w:p>
            <w:r>
              <w:rPr>
                <w:rFonts w:ascii="Calibri" w:hAnsi="Calibri"/>
                <w:b/>
                <w:sz w:val="22"/>
              </w:rPr>
              <w:t>Large Beat</w:t>
            </w:r>
          </w:p>
        </w:tc>
      </w:tr>
      <w:tr>
        <w:tc>
          <w:tcPr>
            <w:tcW w:type="dxa" w:w="1440"/>
          </w:tcPr>
          <w:p>
            <w:r>
              <w:rPr>
                <w:rFonts w:ascii="Calibri" w:hAnsi="Calibri"/>
                <w:sz w:val="22"/>
              </w:rPr>
              <w:t>Q2 2024</w:t>
            </w:r>
          </w:p>
        </w:tc>
        <w:tc>
          <w:tcPr>
            <w:tcW w:type="dxa" w:w="1440"/>
          </w:tcPr>
          <w:p>
            <w:r>
              <w:rPr>
                <w:rFonts w:ascii="Calibri" w:hAnsi="Calibri"/>
                <w:sz w:val="22"/>
              </w:rPr>
              <w:t>EPS — Diluted</w:t>
            </w:r>
          </w:p>
        </w:tc>
        <w:tc>
          <w:tcPr>
            <w:tcW w:type="dxa" w:w="1440"/>
          </w:tcPr>
          <w:p>
            <w:r>
              <w:rPr>
                <w:rFonts w:ascii="Calibri" w:hAnsi="Calibri"/>
                <w:sz w:val="22"/>
              </w:rPr>
              <w:t>$0.90</w:t>
            </w:r>
          </w:p>
        </w:tc>
        <w:tc>
          <w:tcPr>
            <w:tcW w:type="dxa" w:w="1440"/>
          </w:tcPr>
          <w:p>
            <w:r>
              <w:rPr>
                <w:rFonts w:ascii="Calibri" w:hAnsi="Calibri"/>
                <w:sz w:val="22"/>
              </w:rPr>
              <w:t>$0.36</w:t>
            </w:r>
          </w:p>
        </w:tc>
        <w:tc>
          <w:tcPr>
            <w:tcW w:type="dxa" w:w="1440"/>
          </w:tcPr>
          <w:p>
            <w:r>
              <w:rPr>
                <w:rFonts w:ascii="Calibri" w:hAnsi="Calibri"/>
                <w:b/>
                <w:color w:val="30A46C"/>
                <w:sz w:val="22"/>
              </w:rPr>
              <w:t>+153%</w:t>
            </w:r>
          </w:p>
        </w:tc>
        <w:tc>
          <w:tcPr>
            <w:tcW w:type="dxa" w:w="1440"/>
          </w:tcPr>
          <w:p>
            <w:r>
              <w:rPr>
                <w:rFonts w:ascii="Calibri" w:hAnsi="Calibri"/>
                <w:b/>
                <w:sz w:val="22"/>
              </w:rPr>
              <w:t>Large Beat</w:t>
            </w:r>
          </w:p>
        </w:tc>
      </w:tr>
    </w:tbl>
    <w:p>
      <w:r>
        <w:rPr>
          <w:rFonts w:ascii="Calibri" w:hAnsi="Calibri"/>
          <w:i/>
          <w:color w:val="525866"/>
          <w:sz w:val="22"/>
        </w:rPr>
        <w:t>Source: Visible Alpha Consensus and Actuals Data. Note: EPS misses in Q3 2025, Q4 2025, Q1 2025, and Q2 2025 are largely driven by mark-to-market (MTM) derivative accounting, which is excluded from Adjusted EBITDA. Adjusted EBITDA is the primary operating metric management guides to and analysts focus on.</w:t>
      </w:r>
    </w:p>
    <w:p>
      <w:r>
        <w:rPr>
          <w:rFonts w:ascii="Calibri" w:hAnsi="Calibri"/>
          <w:b/>
          <w:color w:val="525866"/>
          <w:sz w:val="22"/>
        </w:rPr>
        <w:t xml:space="preserve">Pattern: </w:t>
      </w:r>
      <w:r>
        <w:rPr>
          <w:rFonts w:ascii="Calibri" w:hAnsi="Calibri"/>
          <w:color w:val="525866"/>
          <w:sz w:val="22"/>
        </w:rPr>
        <w:t>VST has beaten Adjusted EBITDA consensus in 6 of the last 8 quarters, with the two misses concentrated in Q2–Q3 2025 when ERCOT weather was unfavorable; EPS is highly volatile due to MTM accounting and is a poor predictor of operational performance.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FY2026 Adjusted EBITDA estimates have risen +1.6% since the Q1 print (from $7.27B to $7.38B), tracking above the guidance midpoint of $7.0B — the gap is a </w:t>
      </w:r>
      <w:r>
        <w:rPr>
          <w:rFonts w:ascii="Calibri" w:hAnsi="Calibri"/>
          <w:b/>
          <w:color w:val="525866"/>
          <w:sz w:val="22"/>
        </w:rPr>
        <w:t>cushion, not a risk</w:t>
      </w:r>
      <w:r>
        <w:rPr>
          <w:rFonts w:ascii="Calibri" w:hAnsi="Calibri"/>
          <w:color w:val="525866"/>
          <w:sz w:val="22"/>
        </w:rPr>
        <w:t>; Q2 2026 estimates have drifted slightly lower (-3.5%) since the print, reflecting mild weather concerns flagged by peers.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Print,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$1.698B</w:t>
            </w:r>
          </w:p>
        </w:tc>
        <w:tc>
          <w:tcPr>
            <w:tcW w:type="dxa" w:w="1080"/>
          </w:tcPr>
          <w:p>
            <w:r>
              <w:rPr>
                <w:rFonts w:ascii="Calibri" w:hAnsi="Calibri"/>
                <w:sz w:val="22"/>
              </w:rPr>
              <w:t>$1.638B</w:t>
            </w:r>
          </w:p>
        </w:tc>
        <w:tc>
          <w:tcPr>
            <w:tcW w:type="dxa" w:w="1080"/>
          </w:tcPr>
          <w:p>
            <w:r>
              <w:rPr>
                <w:rFonts w:ascii="Calibri" w:hAnsi="Calibri"/>
                <w:b/>
                <w:color w:val="E5484D"/>
                <w:sz w:val="22"/>
              </w:rPr>
              <w:t>-3.5%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$7.270B</w:t>
            </w:r>
          </w:p>
        </w:tc>
        <w:tc>
          <w:tcPr>
            <w:tcW w:type="dxa" w:w="1080"/>
          </w:tcPr>
          <w:p>
            <w:r>
              <w:rPr>
                <w:rFonts w:ascii="Calibri" w:hAnsi="Calibri"/>
                <w:sz w:val="22"/>
              </w:rPr>
              <w:t>$7.385B</w:t>
            </w:r>
          </w:p>
        </w:tc>
        <w:tc>
          <w:tcPr>
            <w:tcW w:type="dxa" w:w="1080"/>
          </w:tcPr>
          <w:p>
            <w:r>
              <w:rPr>
                <w:rFonts w:ascii="Calibri" w:hAnsi="Calibri"/>
                <w:b/>
                <w:color w:val="30A46C"/>
                <w:sz w:val="22"/>
              </w:rPr>
              <w:t>+1.6%</w:t>
            </w:r>
          </w:p>
        </w:tc>
        <w:tc>
          <w:tcPr>
            <w:tcW w:type="dxa" w:w="1080"/>
          </w:tcPr>
          <w:p>
            <w:r>
              <w:rPr>
                <w:rFonts w:ascii="Calibri" w:hAnsi="Calibri"/>
                <w:sz w:val="22"/>
              </w:rPr>
              <w:t>$6.5B – $7.5B (midpoint $7.0B)</w:t>
            </w:r>
          </w:p>
        </w:tc>
        <w:tc>
          <w:tcPr>
            <w:tcW w:type="dxa" w:w="1080"/>
          </w:tcPr>
          <w:p>
            <w:r>
              <w:rPr>
                <w:rFonts w:ascii="Calibri" w:hAnsi="Calibri"/>
                <w:sz w:val="22"/>
              </w:rPr>
              <w:t>Unchanged (reaffirmed May 7, 2026)</w:t>
            </w:r>
          </w:p>
        </w:tc>
        <w:tc>
          <w:tcPr>
            <w:tcW w:type="dxa" w:w="1080"/>
          </w:tcPr>
          <w:p>
            <w:r>
              <w:rPr>
                <w:rFonts w:ascii="Calibri" w:hAnsi="Calibri"/>
                <w:sz w:val="22"/>
              </w:rPr>
              <w:t>0%</w:t>
            </w:r>
          </w:p>
        </w:tc>
        <w:tc>
          <w:tcPr>
            <w:tcW w:type="dxa" w:w="1080"/>
          </w:tcPr>
          <w:p>
            <w:r>
              <w:rPr>
                <w:rFonts w:ascii="Calibri" w:hAnsi="Calibri"/>
                <w:b/>
                <w:color w:val="30A46C"/>
                <w:sz w:val="22"/>
              </w:rPr>
              <w:t>+5.5% above midpoint</w:t>
            </w:r>
          </w:p>
        </w:tc>
      </w:tr>
      <w:tr>
        <w:tc>
          <w:tcPr>
            <w:tcW w:type="dxa" w:w="1080"/>
          </w:tcPr>
          <w:p>
            <w:r>
              <w:rPr>
                <w:rFonts w:ascii="Calibri" w:hAnsi="Calibri"/>
                <w:sz w:val="22"/>
              </w:rPr>
              <w:t>Adj. EBITDA — FY2027</w:t>
            </w:r>
          </w:p>
        </w:tc>
        <w:tc>
          <w:tcPr>
            <w:tcW w:type="dxa" w:w="1080"/>
          </w:tcPr>
          <w:p>
            <w:r>
              <w:rPr>
                <w:rFonts w:ascii="Calibri" w:hAnsi="Calibri"/>
                <w:sz w:val="22"/>
              </w:rPr>
              <w:t>$8.264B</w:t>
            </w:r>
          </w:p>
        </w:tc>
        <w:tc>
          <w:tcPr>
            <w:tcW w:type="dxa" w:w="1080"/>
          </w:tcPr>
          <w:p>
            <w:r>
              <w:rPr>
                <w:rFonts w:ascii="Calibri" w:hAnsi="Calibri"/>
                <w:sz w:val="22"/>
              </w:rPr>
              <w:t>$8.320B</w:t>
            </w:r>
          </w:p>
        </w:tc>
        <w:tc>
          <w:tcPr>
            <w:tcW w:type="dxa" w:w="1080"/>
          </w:tcPr>
          <w:p>
            <w:r>
              <w:rPr>
                <w:rFonts w:ascii="Calibri" w:hAnsi="Calibri"/>
                <w:b/>
                <w:color w:val="30A46C"/>
                <w:sz w:val="22"/>
              </w:rPr>
              <w:t>+0.7%</w:t>
            </w:r>
          </w:p>
        </w:tc>
        <w:tc>
          <w:tcPr>
            <w:tcW w:type="dxa" w:w="1080"/>
          </w:tcPr>
          <w:p>
            <w:r>
              <w:rPr>
                <w:rFonts w:ascii="Calibri" w:hAnsi="Calibri"/>
                <w:sz w:val="22"/>
              </w:rPr>
              <w:t>Midpoint opportunity range maintained (no formal range)</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N/A (no formal range)</w:t>
            </w:r>
          </w:p>
        </w:tc>
      </w:tr>
      <w:tr>
        <w:tc>
          <w:tcPr>
            <w:tcW w:type="dxa" w:w="1080"/>
          </w:tcPr>
          <w:p>
            <w:r>
              <w:rPr>
                <w:rFonts w:ascii="Calibri" w:hAnsi="Calibri"/>
                <w:sz w:val="22"/>
              </w:rPr>
              <w:t>EPS — Diluted, Q2 2026</w:t>
            </w:r>
          </w:p>
        </w:tc>
        <w:tc>
          <w:tcPr>
            <w:tcW w:type="dxa" w:w="1080"/>
          </w:tcPr>
          <w:p>
            <w:r>
              <w:rPr>
                <w:rFonts w:ascii="Calibri" w:hAnsi="Calibri"/>
                <w:sz w:val="22"/>
              </w:rPr>
              <w:t>$1.832</w:t>
            </w:r>
          </w:p>
        </w:tc>
        <w:tc>
          <w:tcPr>
            <w:tcW w:type="dxa" w:w="1080"/>
          </w:tcPr>
          <w:p>
            <w:r>
              <w:rPr>
                <w:rFonts w:ascii="Calibri" w:hAnsi="Calibri"/>
                <w:sz w:val="22"/>
              </w:rPr>
              <w:t>$1.513</w:t>
            </w:r>
          </w:p>
        </w:tc>
        <w:tc>
          <w:tcPr>
            <w:tcW w:type="dxa" w:w="1080"/>
          </w:tcPr>
          <w:p>
            <w:r>
              <w:rPr>
                <w:rFonts w:ascii="Calibri" w:hAnsi="Calibri"/>
                <w:b/>
                <w:color w:val="E5484D"/>
                <w:sz w:val="22"/>
              </w:rPr>
              <w:t>-17.4%</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 Diluted, FY2026</w:t>
            </w:r>
          </w:p>
        </w:tc>
        <w:tc>
          <w:tcPr>
            <w:tcW w:type="dxa" w:w="1080"/>
          </w:tcPr>
          <w:p>
            <w:r>
              <w:rPr>
                <w:rFonts w:ascii="Calibri" w:hAnsi="Calibri"/>
                <w:sz w:val="22"/>
              </w:rPr>
              <w:t>$8.979</w:t>
            </w:r>
          </w:p>
        </w:tc>
        <w:tc>
          <w:tcPr>
            <w:tcW w:type="dxa" w:w="1080"/>
          </w:tcPr>
          <w:p>
            <w:r>
              <w:rPr>
                <w:rFonts w:ascii="Calibri" w:hAnsi="Calibri"/>
                <w:sz w:val="22"/>
              </w:rPr>
              <w:t>$8.919</w:t>
            </w:r>
          </w:p>
        </w:tc>
        <w:tc>
          <w:tcPr>
            <w:tcW w:type="dxa" w:w="1080"/>
          </w:tcPr>
          <w:p>
            <w:r>
              <w:rPr>
                <w:rFonts w:ascii="Calibri" w:hAnsi="Calibri"/>
                <w:b/>
                <w:color w:val="E5484D"/>
                <w:sz w:val="22"/>
              </w:rPr>
              <w:t>-0.7%</w:t>
            </w:r>
          </w:p>
        </w:tc>
        <w:tc>
          <w:tcPr>
            <w:tcW w:type="dxa" w:w="1080"/>
          </w:tcPr>
          <w:p>
            <w:r>
              <w:rPr>
                <w:rFonts w:ascii="Calibri" w:hAnsi="Calibri"/>
                <w:sz w:val="22"/>
              </w:rPr>
              <w:t>No formal EPS guidance</w:t>
            </w:r>
          </w:p>
        </w:tc>
        <w:tc>
          <w:tcPr>
            <w:tcW w:type="dxa" w:w="1080"/>
          </w:tcPr>
          <w:p>
            <w:r>
              <w:rPr>
                <w:rFonts w:ascii="Calibri" w:hAnsi="Calibri"/>
                <w:sz w:val="22"/>
              </w:rPr>
              <w:t>No formal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$5.044B</w:t>
            </w:r>
          </w:p>
        </w:tc>
        <w:tc>
          <w:tcPr>
            <w:tcW w:type="dxa" w:w="1080"/>
          </w:tcPr>
          <w:p>
            <w:r>
              <w:rPr>
                <w:rFonts w:ascii="Calibri" w:hAnsi="Calibri"/>
                <w:sz w:val="22"/>
              </w:rPr>
              <w:t>$5.513B</w:t>
            </w:r>
          </w:p>
        </w:tc>
        <w:tc>
          <w:tcPr>
            <w:tcW w:type="dxa" w:w="1080"/>
          </w:tcPr>
          <w:p>
            <w:r>
              <w:rPr>
                <w:rFonts w:ascii="Calibri" w:hAnsi="Calibri"/>
                <w:b/>
                <w:color w:val="30A46C"/>
                <w:sz w:val="22"/>
              </w:rPr>
              <w:t>+9.3%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as of May 12, 2026 (5 trading days post Q1 2026 earnings). Current consensus as of latest available (August 2026).</w:t>
      </w:r>
    </w:p>
    <w:p>
      <w:r>
        <w:rPr>
          <w:rFonts w:ascii="Calibri" w:hAnsi="Calibri"/>
          <w:color w:val="525866"/>
          <w:sz w:val="22"/>
        </w:rPr>
        <w:t>The divergence between Q2-specific estimate drift (-3.5% on EBITDA) and full-year stability (+1.6%) suggests the market is treating Q2 as a weather-impacted quarter but not revising the structural earnings power story. FY2026 consensus of $7.38B sitting 5.5% above the guidance midpoint of $7.0B implies the street expects Vistra to execute toward the high end of its range, consistent with the Q1 beat and management's confident tone.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VST is down ~8.2% since the Q1 2026 earnings date (May 7) vs. XLU -3.9% and SPY +5.1% — the underperformance is </w:t>
      </w:r>
      <w:r>
        <w:rPr>
          <w:rFonts w:ascii="Calibri" w:hAnsi="Calibri"/>
          <w:b/>
          <w:color w:val="525866"/>
          <w:sz w:val="22"/>
        </w:rPr>
        <w:t>sentiment and multiple-driven</w:t>
      </w:r>
      <w:r>
        <w:rPr>
          <w:rFonts w:ascii="Calibri" w:hAnsi="Calibri"/>
          <w:color w:val="525866"/>
          <w:sz w:val="22"/>
        </w:rPr>
        <w:t>, not estimate-driven, as FY2026 EBITDA estimates have actually risen +1.6% over the same period; the stock appears to have already priced in Q2 weather softness.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VST vs. XLU vs. S&amp;P 500 — Indexed to 100 at May 7, 2026 (Q1 2026 Earnings Date). Source: Stock Price Data.</w:t>
      </w:r>
    </w:p>
    <w:p>
      <w:r>
        <w:rPr>
          <w:rFonts w:ascii="Calibri" w:hAnsi="Calibri"/>
          <w:b/>
          <w:color w:val="525866"/>
          <w:sz w:val="22"/>
        </w:rPr>
        <w:t xml:space="preserve">Sector ETF used: </w:t>
      </w:r>
      <w:r>
        <w:rPr>
          <w:rFonts w:ascii="Calibri" w:hAnsi="Calibri"/>
          <w:color w:val="525866"/>
          <w:sz w:val="22"/>
        </w:rPr>
        <w:t>XLU (Utilities Select Sector SPDR Fund) — appropriate for VST given its classification as an integrated power generation and retail electricity company in the utilities sector.</w:t>
      </w:r>
      <w:r>
        <w:rPr>
          <w:rFonts w:ascii="Calibri" w:hAnsi="Calibri"/>
          <w:color w:val="525866"/>
          <w:sz w:val="22"/>
        </w:rPr>
        <w:t xml:space="preserve"> VST peaked at $168.98 on July 23, 2026 (+9.8% from earnings date), driven by the PJM capacity auction results ($325/MW-day for 10.9 GW, announced July 14) and the Helix Digital Infrastructure partnership announcement (June 11). The stock then sold off sharply from late July through early August, giving back all gains and more, likely on broader market volatility and profit-taking ahead of earnings. The stock's underperformance vs. SPY (+5.1%) is notable given that FY2026 EBITDA estimates rose +1.6% over the same period, suggesting the de-rating is multiple compression rather than earnings deterioration — a potentially attractive setup if Q2 results confirm the structural story.</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PJM 2028/2029 capacity auction clearing at $325/MW-day for 10.9 GW of Vistra capacity</w:t>
      </w:r>
      <w:r>
        <w:rPr>
          <w:rFonts w:ascii="Calibri" w:hAnsi="Calibri"/>
          <w:color w:val="525866"/>
          <w:sz w:val="22"/>
        </w:rPr>
        <w:t xml:space="preserve"> (July 14) — a direct, quantifiable earnings tailwind for future periods that validates the scarcity value of Vistra's dispatchable fleet.</w:t>
      </w:r>
    </w:p>
    <w:p>
      <w:pPr>
        <w:pStyle w:val="ListBullet"/>
        <w:ind w:left="360" w:hanging="360"/>
      </w:pPr>
      <w:r>
        <w:rPr>
          <w:rFonts w:ascii="Calibri" w:hAnsi="Calibri"/>
          <w:b/>
          <w:color w:val="525866"/>
          <w:sz w:val="22"/>
        </w:rPr>
        <w:t>July 14, 2026 — PJM 2028/2029 Capacity Auction Results (8-K):</w:t>
      </w:r>
      <w:r>
        <w:rPr>
          <w:rFonts w:ascii="Calibri" w:hAnsi="Calibri"/>
          <w:color w:val="525866"/>
          <w:sz w:val="22"/>
        </w:rPr>
        <w:t xml:space="preserve"> Vistra cleared 10,924 MW at a weighted average price of $325/MW-day across all PJM zones (RTO, COMED, DEOK, EMAAC, MAAC, ATSI, DOM). This is a significant positive for the East segment and validates the scarcity value of Vistra's nuclear and dispatchable assets in tight supply markets. Implication: Meaningful incremental capacity revenue tailwind for 2028/2029 periods; supports the bull case on long-term earnings power.</w:t>
      </w:r>
    </w:p>
    <w:p>
      <w:pPr>
        <w:pStyle w:val="ListBullet"/>
        <w:ind w:left="360" w:hanging="360"/>
      </w:pPr>
      <w:r>
        <w:rPr>
          <w:rFonts w:ascii="Calibri" w:hAnsi="Calibri"/>
          <w:b/>
          <w:color w:val="525866"/>
          <w:sz w:val="22"/>
        </w:rPr>
        <w:t>June 11, 2026 — Helix Digital Infrastructure Launch (KKR / Nvidia / Vistra):</w:t>
      </w:r>
      <w:r>
        <w:rPr>
          <w:rFonts w:ascii="Calibri" w:hAnsi="Calibri"/>
          <w:color w:val="525866"/>
          <w:sz w:val="22"/>
        </w:rPr>
        <w:t xml:space="preserve"> KKR, Kuwait Investment Authority, Nvidia, and Vistra launched Helix Digital Infrastructure with &gt;$10B in long-duration capital commitments. Vistra will provide power for the AI hyperscaler infrastructure platform, led by former AWS CEO Adam Selipsky. Implication: Validates Vistra's positioning as a preferred power provider for the AI economy; potential for incremental long-term power contracts.</w:t>
      </w:r>
    </w:p>
    <w:p>
      <w:pPr>
        <w:pStyle w:val="ListBullet"/>
        <w:ind w:left="360" w:hanging="360"/>
      </w:pPr>
      <w:r>
        <w:rPr>
          <w:rFonts w:ascii="Calibri" w:hAnsi="Calibri"/>
          <w:b/>
          <w:color w:val="525866"/>
          <w:sz w:val="22"/>
        </w:rPr>
        <w:t>June 30, 2026 — Revolving Credit Facility Expanded to $5.5B (8-K):</w:t>
      </w:r>
      <w:r>
        <w:rPr>
          <w:rFonts w:ascii="Calibri" w:hAnsi="Calibri"/>
          <w:color w:val="525866"/>
          <w:sz w:val="22"/>
        </w:rPr>
        <w:t xml:space="preserve"> Vistra Operations amended its credit agreement, increasing revolving credit commitments from $3.44B to $5.5B. Guarantors were released and collateral reinstatement requirements removed, consistent with investment-grade credit profile. Implication: Enhanced liquidity and financial flexibility; supports capital allocation optionality for Cogentrix close and growth investments.</w:t>
      </w:r>
    </w:p>
    <w:p>
      <w:pPr>
        <w:pStyle w:val="ListBullet"/>
        <w:ind w:left="360" w:hanging="360"/>
      </w:pPr>
      <w:r>
        <w:rPr>
          <w:rFonts w:ascii="Calibri" w:hAnsi="Calibri"/>
          <w:b/>
          <w:color w:val="525866"/>
          <w:sz w:val="22"/>
        </w:rPr>
        <w:t>July 16, 2026 — Receivables Securitization Facility Amended and Extended (8-K):</w:t>
      </w:r>
      <w:r>
        <w:rPr>
          <w:rFonts w:ascii="Calibri" w:hAnsi="Calibri"/>
          <w:color w:val="525866"/>
          <w:sz w:val="22"/>
        </w:rPr>
        <w:t xml:space="preserve"> Vistra subsidiaries amended and extended their $1.25B receivables securitization facility. Implication: Routine balance sheet management; reinforces liquidity position heading into H2 2026.</w:t>
      </w:r>
    </w:p>
    <w:p>
      <w:pPr>
        <w:pStyle w:val="ListBullet"/>
        <w:ind w:left="360" w:hanging="360"/>
      </w:pPr>
      <w:r>
        <w:rPr>
          <w:rFonts w:ascii="Calibri" w:hAnsi="Calibri"/>
          <w:b/>
          <w:color w:val="525866"/>
          <w:sz w:val="22"/>
        </w:rPr>
        <w:t>June 17, 2026 — Jim Cramer Lightning Round (CNBC):</w:t>
      </w:r>
      <w:r>
        <w:rPr>
          <w:rFonts w:ascii="Calibri" w:hAnsi="Calibri"/>
          <w:color w:val="525866"/>
          <w:sz w:val="22"/>
        </w:rPr>
        <w:t xml:space="preserve"> Cramer called VST a buy after the pullback, stating "It went too high. It's come back down. I'm going to bless it. It is a falling knife. I know I would only put on like 25% of my position, but it's too low." Implication: Retail sentiment indicator; not a fundamental catalyst but reflects the stock's pullback from highs.</w:t>
      </w:r>
    </w:p>
    <w:p>
      <w:pPr>
        <w:pStyle w:val="ListBullet"/>
        <w:ind w:left="360" w:hanging="360"/>
      </w:pPr>
      <w:r>
        <w:rPr>
          <w:rFonts w:ascii="Calibri" w:hAnsi="Calibri"/>
          <w:b/>
          <w:color w:val="525866"/>
          <w:sz w:val="22"/>
        </w:rPr>
        <w:t>May 7, 2026 — Q1 2026 Earnings Beat &amp; Guidance Reaffirmation:</w:t>
      </w:r>
      <w:r>
        <w:rPr>
          <w:rFonts w:ascii="Calibri" w:hAnsi="Calibri"/>
          <w:color w:val="525866"/>
          <w:sz w:val="22"/>
        </w:rPr>
        <w:t xml:space="preserve"> Record Q1 Adjusted EBITDA of $1.494B (+20% YoY), full-year 2026 guidance reaffirmed, 2027 midpoint opportunity maintained. Fitch investment-grade upgrade (BBB-) completed during the quarter. Implication: Strong operational execution; guidance reaffirmation removes downside risk; investment-grade milestone unlocks lien releases and enhances financial flexibility.</w:t>
      </w:r>
    </w:p>
    <w:p>
      <w:pPr>
        <w:pStyle w:val="ListBullet"/>
        <w:ind w:left="360" w:hanging="360"/>
      </w:pPr>
      <w:r>
        <w:rPr>
          <w:rFonts w:ascii="Calibri" w:hAnsi="Calibri"/>
          <w:b/>
          <w:color w:val="525866"/>
          <w:sz w:val="22"/>
        </w:rPr>
        <w:t>Pending — Cogentrix Acquisition (Expected H2 2026):</w:t>
      </w:r>
      <w:r>
        <w:rPr>
          <w:rFonts w:ascii="Calibri" w:hAnsi="Calibri"/>
          <w:color w:val="525866"/>
          <w:sz w:val="22"/>
        </w:rPr>
        <w:t xml:space="preserve"> Acquisition of Cogentrix remains on track to close in H2 2026, which would expand Vistra's fleet to ~50,000 MW. Guidance update expected post-close. Implication: Potential positive catalyst if close is announced on the Q2 call; adds scale and diversification.</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(CEG, NRG, EXC, ETR) collectively confirm </w:t>
      </w:r>
      <w:r>
        <w:rPr>
          <w:rFonts w:ascii="Calibri" w:hAnsi="Calibri"/>
          <w:b/>
          <w:color w:val="525866"/>
          <w:sz w:val="22"/>
        </w:rPr>
        <w:t>ERCOT near-term softness is well-understood and expected</w:t>
      </w:r>
      <w:r>
        <w:rPr>
          <w:rFonts w:ascii="Calibri" w:hAnsi="Calibri"/>
          <w:color w:val="525866"/>
          <w:sz w:val="22"/>
        </w:rPr>
        <w:t>, PJM capacity scarcity is intensifying, and hyperscaler engagement remains robust — all directionally positive read-throughs for VST's Q2 print and long-term positioning. The most important signal: CEG's 920 MW of new nuclear deals signed in Q2 at 18.5-year average duration confirms the nuclear contracting market is active, which is directly relevant to VST's ~3.2 GW of uncontracted nuclear capacity at Beaver Valley and Comanche Peak.</w:t>
      </w:r>
    </w:p>
    <w:p>
      <w:pPr>
        <w:pStyle w:val="Heading3"/>
      </w:pPr>
      <w:r>
        <w:rPr>
          <w:rFonts w:ascii="Calibri" w:hAnsi="Calibri"/>
          <w:b/>
          <w:color w:val="3B4259"/>
          <w:sz w:val="24"/>
        </w:rPr>
        <w:t>Constellation Energy (CEG) — Q2 2026 Earnings Call (August 6, 2026)</w:t>
      </w:r>
    </w:p>
    <w:p>
      <w:r>
        <w:rPr>
          <w:rFonts w:ascii="Calibri" w:hAnsi="Calibri"/>
          <w:b/>
          <w:color w:val="525866"/>
          <w:sz w:val="22"/>
        </w:rPr>
        <w:t xml:space="preserve">Relevance to VST: </w:t>
      </w:r>
      <w:r>
        <w:rPr>
          <w:rFonts w:ascii="Calibri" w:hAnsi="Calibri"/>
          <w:color w:val="525866"/>
          <w:sz w:val="22"/>
        </w:rPr>
        <w:t>Highest read-through. CEG is VST's closest nuclear peer and competes in the same PJM markets.</w:t>
      </w:r>
    </w:p>
    <w:p>
      <w:pPr>
        <w:pStyle w:val="ListBullet"/>
        <w:ind w:left="360" w:hanging="360"/>
      </w:pPr>
      <w:r>
        <w:rPr>
          <w:rFonts w:ascii="Calibri" w:hAnsi="Calibri"/>
          <w:b/>
          <w:color w:val="525866"/>
          <w:sz w:val="22"/>
        </w:rPr>
        <w:t>Nuclear contracting market is active and accelerating:</w:t>
      </w:r>
      <w:r>
        <w:rPr>
          <w:rFonts w:ascii="Calibri" w:hAnsi="Calibri"/>
          <w:color w:val="525866"/>
          <w:sz w:val="22"/>
        </w:rPr>
        <w:t xml:space="preserve"> CEG signed ~920 MW of long-term nuclear deals in Q2 at an average duration of 18.5 years with investment-grade customers, bringing total contracted clean baseload output to ~30%. Pricing range of $20–$50/MWh maintained. CEO Joe Dominguez: "Our transactional pipeline for future deals is both robust and active." </w:t>
      </w:r>
    </w:p>
    <w:p>
      <w:pPr>
        <w:pStyle w:val="ListBullet"/>
        <w:ind w:left="360" w:hanging="360"/>
      </w:pPr>
      <w:r>
        <w:rPr>
          <w:rFonts w:ascii="Calibri" w:hAnsi="Calibri"/>
          <w:b/>
          <w:color w:val="525866"/>
          <w:sz w:val="22"/>
        </w:rPr>
        <w:t>VST Read-Through:</w:t>
      </w:r>
      <w:r>
        <w:rPr>
          <w:rFonts w:ascii="Calibri" w:hAnsi="Calibri"/>
          <w:b/>
          <w:color w:val="30A46C"/>
          <w:sz w:val="22"/>
        </w:rPr>
        <w:t xml:space="preserve"> Directly positive. VST has ~3.2 GW of uncontracted nuclear capacity at Beaver Valley and Comanche Peak that management flagged as a near-term contracting priority. CEG's deal flow confirms the market is willing to transact at premium prices, and the Walmart deal (first nuclear PPA for a major retailer) signals the buyer universe is broadening beyond hyperscalers.</w:t>
      </w:r>
    </w:p>
    <w:p>
      <w:pPr>
        <w:pStyle w:val="ListBullet"/>
        <w:ind w:left="360" w:hanging="360"/>
      </w:pPr>
      <w:r>
        <w:rPr>
          <w:rFonts w:ascii="Calibri" w:hAnsi="Calibri"/>
          <w:b/>
          <w:color w:val="525866"/>
          <w:sz w:val="22"/>
        </w:rPr>
        <w:t>ERCOT weakness was expected and priced in:</w:t>
      </w:r>
      <w:r>
        <w:rPr>
          <w:rFonts w:ascii="Calibri" w:hAnsi="Calibri"/>
          <w:color w:val="525866"/>
          <w:sz w:val="22"/>
        </w:rPr>
        <w:t xml:space="preserve"> CEG sold its Brazos Valley gas plant for $860M ($1,420/kW), noting "in spite of recent ERCOT weakness, buyers recognized the long-term value of gas-fired assets." Dominguez: "If you don't have the right weather, you're not going to see a lot of price action in Texas. That's what we've seen this year. It was completely, completely expected by us." ERCOT is "undervalued" in the outer years ('28/'29+).</w:t>
      </w:r>
    </w:p>
    <w:p>
      <w:pPr>
        <w:pStyle w:val="ListBullet"/>
        <w:ind w:left="360" w:hanging="360"/>
      </w:pPr>
      <w:r>
        <w:rPr>
          <w:rFonts w:ascii="Calibri" w:hAnsi="Calibri"/>
          <w:b/>
          <w:color w:val="525866"/>
          <w:sz w:val="22"/>
        </w:rPr>
        <w:t>VST Read-Through:</w:t>
      </w:r>
      <w:r>
        <w:rPr>
          <w:rFonts w:ascii="Calibri" w:hAnsi="Calibri"/>
          <w:b/>
          <w:color w:val="002FA7"/>
          <w:sz w:val="22"/>
        </w:rPr>
        <w:t xml:space="preserve"> Neutral to slightly positive. Confirms Q2 ERCOT softness is a known headwind, not a structural deterioration. VST's integrated model (generation + retail) provides a natural hedge. The outer-year ERCOT bull case remains intact.</w:t>
      </w:r>
    </w:p>
    <w:p>
      <w:pPr>
        <w:pStyle w:val="ListBullet"/>
        <w:ind w:left="360" w:hanging="360"/>
      </w:pPr>
      <w:r>
        <w:rPr>
          <w:rFonts w:ascii="Calibri" w:hAnsi="Calibri"/>
          <w:b/>
          <w:color w:val="525866"/>
          <w:sz w:val="22"/>
        </w:rPr>
        <w:t>PJM regulatory clarity is accelerating deal flow:</w:t>
      </w:r>
      <w:r>
        <w:rPr>
          <w:rFonts w:ascii="Calibri" w:hAnsi="Calibri"/>
          <w:color w:val="525866"/>
          <w:sz w:val="22"/>
        </w:rPr>
        <w:t xml:space="preserve"> FERC ordered every RTO to justify large load interconnection tariffs or propose revisions. PJM's Reliability Backstop Procurement (RBP) targets 6.8 GW with a bilateral matchmaking process underway and auction proposed for fall 2026. Dominguez: "Once we do get clarity, we're going to see here in PJM what we've seen in many places where deal flow will kick off with a bit of a bang."</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VST has been actively engaged in bilateral contracting discussions and management pushed back against any customer pause narrative on the Q1 call. Accelerating PJM clarity should unlock incremental contracting activity for VST's nuclear and gas assets.</w:t>
      </w:r>
    </w:p>
    <w:p>
      <w:pPr>
        <w:pStyle w:val="ListBullet"/>
        <w:ind w:left="360" w:hanging="360"/>
      </w:pPr>
      <w:r>
        <w:rPr>
          <w:rFonts w:ascii="Calibri" w:hAnsi="Calibri"/>
          <w:b/>
          <w:color w:val="525866"/>
          <w:sz w:val="22"/>
        </w:rPr>
        <w:t>Crane (Three Mile Island) restart on track for H2 2027:</w:t>
      </w:r>
      <w:r>
        <w:rPr>
          <w:rFonts w:ascii="Calibri" w:hAnsi="Calibri"/>
          <w:color w:val="525866"/>
          <w:sz w:val="22"/>
        </w:rPr>
        <w:t xml:space="preserve"> NRC approved the Crane New Fuel Licensing Amendment; FERC granted capacity injection rights transfer from Eddystone to Crane. License renewal applications filed for Ginna and Nine Mile Point 1.</w:t>
      </w:r>
    </w:p>
    <w:p>
      <w:pPr>
        <w:pStyle w:val="ListBullet"/>
        <w:ind w:left="360" w:hanging="360"/>
      </w:pPr>
      <w:r>
        <w:rPr>
          <w:rFonts w:ascii="Calibri" w:hAnsi="Calibri"/>
          <w:b/>
          <w:color w:val="525866"/>
          <w:sz w:val="22"/>
        </w:rPr>
        <w:t>VST Read-Through:</w:t>
      </w:r>
      <w:r>
        <w:rPr>
          <w:rFonts w:ascii="Calibri" w:hAnsi="Calibri"/>
          <w:b/>
          <w:color w:val="002FA7"/>
          <w:sz w:val="22"/>
        </w:rPr>
        <w:t xml:space="preserve"> Neutral. Crane restart adds nuclear supply to PJM but is a 2027+ event. Near-term, it reinforces the scarcity value of existing operating nuclear assets like VST's Beaver Valley and Comanche Peak.</w:t>
      </w:r>
    </w:p>
    <w:p>
      <w:pPr>
        <w:pStyle w:val="Heading3"/>
      </w:pPr>
      <w:r>
        <w:rPr>
          <w:rFonts w:ascii="Calibri" w:hAnsi="Calibri"/>
          <w:b/>
          <w:color w:val="3B4259"/>
          <w:sz w:val="24"/>
        </w:rPr>
        <w:t>NRG Energy (NRG) — Q2 2026 Earnings Call (August 4, 2026)</w:t>
      </w:r>
    </w:p>
    <w:p>
      <w:r>
        <w:rPr>
          <w:rFonts w:ascii="Calibri" w:hAnsi="Calibri"/>
          <w:b/>
          <w:color w:val="525866"/>
          <w:sz w:val="22"/>
        </w:rPr>
        <w:t xml:space="preserve">Relevance to VST: </w:t>
      </w:r>
      <w:r>
        <w:rPr>
          <w:rFonts w:ascii="Calibri" w:hAnsi="Calibri"/>
          <w:color w:val="525866"/>
          <w:sz w:val="22"/>
        </w:rPr>
        <w:t>High read-through. NRG is a direct competitor in ERCOT retail and PJM generation markets.</w:t>
      </w:r>
    </w:p>
    <w:p>
      <w:pPr>
        <w:pStyle w:val="ListBullet"/>
        <w:ind w:left="360" w:hanging="360"/>
      </w:pPr>
      <w:r>
        <w:rPr>
          <w:rFonts w:ascii="Calibri" w:hAnsi="Calibri"/>
          <w:b/>
          <w:color w:val="525866"/>
          <w:sz w:val="22"/>
        </w:rPr>
        <w:t>ERCOT power prices well below planning assumptions:</w:t>
      </w:r>
      <w:r>
        <w:rPr>
          <w:rFonts w:ascii="Calibri" w:hAnsi="Calibri"/>
          <w:color w:val="525866"/>
          <w:sz w:val="22"/>
        </w:rPr>
        <w:t xml:space="preserve"> ERCOT Houston around-the-clock prices averaged $33/MWh in Q2, 8% below prior year and well below NRG's 2026 planning assumption of $52/MWh. NRG attributed this to concerns around delays in new supply hitting the grid and timing uncertainty for 2027–2028.</w:t>
      </w:r>
    </w:p>
    <w:p>
      <w:pPr>
        <w:pStyle w:val="ListBullet"/>
        <w:ind w:left="360" w:hanging="360"/>
      </w:pPr>
      <w:r>
        <w:rPr>
          <w:rFonts w:ascii="Calibri" w:hAnsi="Calibri"/>
          <w:b/>
          <w:color w:val="525866"/>
          <w:sz w:val="22"/>
        </w:rPr>
        <w:t>VST Read-Through:</w:t>
      </w:r>
      <w:r>
        <w:rPr>
          <w:rFonts w:ascii="Calibri" w:hAnsi="Calibri"/>
          <w:b/>
          <w:color w:val="E5484D"/>
          <w:sz w:val="22"/>
        </w:rPr>
        <w:t xml:space="preserve"> Negative for Q2 ERCOT generation margins. VST's Texas segment will face similar headwinds. However, VST's comprehensive hedging program and nuclear PTC downside protection should limit the impact. The integrated retail model also provides a partial offset.</w:t>
      </w:r>
    </w:p>
    <w:p>
      <w:pPr>
        <w:pStyle w:val="ListBullet"/>
        <w:ind w:left="360" w:hanging="360"/>
      </w:pPr>
      <w:r>
        <w:rPr>
          <w:rFonts w:ascii="Calibri" w:hAnsi="Calibri"/>
          <w:b/>
          <w:color w:val="525866"/>
          <w:sz w:val="22"/>
        </w:rPr>
        <w:t>New hyperscaler deal announced — 1.2 GW BYOP project in Texas:</w:t>
      </w:r>
      <w:r>
        <w:rPr>
          <w:rFonts w:ascii="Calibri" w:hAnsi="Calibri"/>
          <w:color w:val="525866"/>
          <w:sz w:val="22"/>
        </w:rPr>
        <w:t xml:space="preserve"> NRG aligned on principal commercial terms with a leading global cloud/AI hyperscaler for a 1.2 GW "Bring Your Own Power" project in Texas (expandable to 2.4 GW), targeting commercial operations in late 2029. Structure: 95% of FCF supported by capacity payments independent of data center utilization; $3.2B total investment; $500M annual EBITDA at full run rate; 15-year initial term with investment-grade parent guarantee.</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for the sector. Confirms hyperscalers are executing on large-scale power deals with new generation, validating the demand thesis. VST's approach (existing nuclear + gas assets) is faster to market than NRG's greenfield build, which is a competitive advantage for near-term contracting.</w:t>
      </w:r>
    </w:p>
    <w:p>
      <w:pPr>
        <w:pStyle w:val="ListBullet"/>
        <w:ind w:left="360" w:hanging="360"/>
      </w:pPr>
      <w:r>
        <w:rPr>
          <w:rFonts w:ascii="Calibri" w:hAnsi="Calibri"/>
          <w:b/>
          <w:color w:val="525866"/>
          <w:sz w:val="22"/>
        </w:rPr>
        <w:t>PJM upgrade opportunities — ~2 GW at lower cost than greenfield:</w:t>
      </w:r>
      <w:r>
        <w:rPr>
          <w:rFonts w:ascii="Calibri" w:hAnsi="Calibri"/>
          <w:color w:val="525866"/>
          <w:sz w:val="22"/>
        </w:rPr>
        <w:t xml:space="preserve"> NRG has ~2 GW of upgrade opportunities across its PJM fleet, described as "lower and faster" than greenfield. Bilateral conversations ongoing for all 2,000 MW alongside long-term auction opportunities.</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VST has similar upgrade opportunities (Comanche Peak uprates supported by Meta PPAs). The "lower and faster" framing reinforces VST's competitive positioning with existing assets.</w:t>
      </w:r>
    </w:p>
    <w:p>
      <w:pPr>
        <w:pStyle w:val="ListBullet"/>
        <w:ind w:left="360" w:hanging="360"/>
      </w:pPr>
      <w:r>
        <w:rPr>
          <w:rFonts w:ascii="Calibri" w:hAnsi="Calibri"/>
          <w:b/>
          <w:color w:val="525866"/>
          <w:sz w:val="22"/>
        </w:rPr>
        <w:t>Market setup increasingly compelling in ERCOT and PJM:</w:t>
      </w:r>
      <w:r>
        <w:rPr>
          <w:rFonts w:ascii="Calibri" w:hAnsi="Calibri"/>
          <w:color w:val="525866"/>
          <w:sz w:val="22"/>
        </w:rPr>
        <w:t xml:space="preserve"> "Projected demand growth is materially ahead of the supply currently expected to come online. That imbalance is changing the market." ERCOT expected to tighten as solar/battery subsidies expire around 2027, dramatically reducing new builds.</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for VST's medium-term earnings power. Consistent with VST management's own view that meaningful load growth impact begins late 2027/early 2028.</w:t>
      </w:r>
    </w:p>
    <w:p>
      <w:pPr>
        <w:pStyle w:val="Heading3"/>
      </w:pPr>
      <w:r>
        <w:rPr>
          <w:rFonts w:ascii="Calibri" w:hAnsi="Calibri"/>
          <w:b/>
          <w:color w:val="3B4259"/>
          <w:sz w:val="24"/>
        </w:rPr>
        <w:t>Exelon (EXC) — Q2 2026 Earnings Call (July 30, 2026)</w:t>
      </w:r>
    </w:p>
    <w:p>
      <w:r>
        <w:rPr>
          <w:rFonts w:ascii="Calibri" w:hAnsi="Calibri"/>
          <w:b/>
          <w:color w:val="525866"/>
          <w:sz w:val="22"/>
        </w:rPr>
        <w:t xml:space="preserve">Relevance to VST: </w:t>
      </w:r>
      <w:r>
        <w:rPr>
          <w:rFonts w:ascii="Calibri" w:hAnsi="Calibri"/>
          <w:color w:val="525866"/>
          <w:sz w:val="22"/>
        </w:rPr>
        <w:t>Moderate read-through. EXC is a regulated utility operating in PJM markets (ComEd, PECO, BGE, Pepco). Provides insight into PJM grid stress and capacity market dynamics.</w:t>
      </w:r>
    </w:p>
    <w:p>
      <w:pPr>
        <w:pStyle w:val="ListBullet"/>
        <w:ind w:left="360" w:hanging="360"/>
      </w:pPr>
      <w:r>
        <w:rPr>
          <w:rFonts w:ascii="Calibri" w:hAnsi="Calibri"/>
          <w:b/>
          <w:color w:val="525866"/>
          <w:sz w:val="22"/>
        </w:rPr>
        <w:t>PJM capacity market at record stress — third consecutive auction at FERC price cap:</w:t>
      </w:r>
      <w:r>
        <w:rPr>
          <w:rFonts w:ascii="Calibri" w:hAnsi="Calibri"/>
          <w:color w:val="525866"/>
          <w:sz w:val="22"/>
        </w:rPr>
        <w:t xml:space="preserve"> PJM's most recent capacity auction cleared at the FERC-approved price cap for the third consecutive time, yet still fell short of the reliability requirement by ~6.8 GW (equivalent to ~7 nuclear reactors). Only ~525 MW of new generation and uprates cleared. PJM's own simulation shows prices would have cleared at ~$555/MW-day across the footprint (and $777 in ComEd) absent the cap.</w:t>
      </w:r>
    </w:p>
    <w:p>
      <w:pPr>
        <w:pStyle w:val="ListBullet"/>
        <w:ind w:left="360" w:hanging="360"/>
      </w:pPr>
      <w:r>
        <w:rPr>
          <w:rFonts w:ascii="Calibri" w:hAnsi="Calibri"/>
          <w:b/>
          <w:color w:val="525866"/>
          <w:sz w:val="22"/>
        </w:rPr>
        <w:t>VST Read-Through:</w:t>
      </w:r>
      <w:r>
        <w:rPr>
          <w:rFonts w:ascii="Calibri" w:hAnsi="Calibri"/>
          <w:b/>
          <w:color w:val="30A46C"/>
          <w:sz w:val="22"/>
        </w:rPr>
        <w:t xml:space="preserve"> Highly positive. The structural capacity shortage in PJM directly benefits VST's East segment. VST cleared 10.9 GW at $325/MW-day in the 2028/2029 auction (announced July 14). The underlying scarcity value of VST's dispatchable and nuclear assets is even greater than headline prices suggest.</w:t>
      </w:r>
    </w:p>
    <w:p>
      <w:pPr>
        <w:pStyle w:val="ListBullet"/>
        <w:ind w:left="360" w:hanging="360"/>
      </w:pPr>
      <w:r>
        <w:rPr>
          <w:rFonts w:ascii="Calibri" w:hAnsi="Calibri"/>
          <w:b/>
          <w:color w:val="525866"/>
          <w:sz w:val="22"/>
        </w:rPr>
        <w:t>Record PJM peak demand of 168 GW — emergency procedures activated:</w:t>
      </w:r>
      <w:r>
        <w:rPr>
          <w:rFonts w:ascii="Calibri" w:hAnsi="Calibri"/>
          <w:color w:val="525866"/>
          <w:sz w:val="22"/>
        </w:rPr>
        <w:t xml:space="preserve"> PJM hit a record peak of 168 GW during Q2, activating emergency procedures and demand response, with power prices surging from ~$80 to ~$800/MWh. EXC: "Demand is growing faster than supply, and the system is under increasing strain."</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for VST's East segment generation margins. Peak demand events drive high realized prices for VST's dispatchable gas and nuclear assets in PJM. This is a direct Q2 earnings tailwind.</w:t>
      </w:r>
    </w:p>
    <w:p>
      <w:pPr>
        <w:pStyle w:val="ListBullet"/>
        <w:ind w:left="360" w:hanging="360"/>
      </w:pPr>
      <w:r>
        <w:rPr>
          <w:rFonts w:ascii="Calibri" w:hAnsi="Calibri"/>
          <w:b/>
          <w:color w:val="525866"/>
          <w:sz w:val="22"/>
        </w:rPr>
        <w:t>Data center pipeline refined to 36 GW (from 43 GW) — speculative projects weeded out:</w:t>
      </w:r>
      <w:r>
        <w:rPr>
          <w:rFonts w:ascii="Calibri" w:hAnsi="Calibri"/>
          <w:color w:val="525866"/>
          <w:sz w:val="22"/>
        </w:rPr>
        <w:t xml:space="preserve"> EXC reduced its data center growth pipeline by 11 GW through Transmission Security Agreements (TSAs) requiring financial collateral. Of the 11 GW high-probability projects, 4 GW have signed TSAs backed by $1B in collateral. EXC's $41B capex plan through 2029 is unchanged.</w:t>
      </w:r>
    </w:p>
    <w:p>
      <w:pPr>
        <w:pStyle w:val="ListBullet"/>
        <w:ind w:left="360" w:hanging="360"/>
      </w:pPr>
      <w:r>
        <w:rPr>
          <w:rFonts w:ascii="Calibri" w:hAnsi="Calibri"/>
          <w:b/>
          <w:color w:val="525866"/>
          <w:sz w:val="22"/>
        </w:rPr>
        <w:t>VST Read-Through:</w:t>
      </w:r>
      <w:r>
        <w:rPr>
          <w:rFonts w:ascii="Calibri" w:hAnsi="Calibri"/>
          <w:b/>
          <w:color w:val="002FA7"/>
          <w:sz w:val="22"/>
        </w:rPr>
        <w:t xml:space="preserve"> Neutral. The pipeline refinement reflects regulatory discipline, not demand deterioration. The 11 GW of high-probability projects with financial commitments is a more credible demand signal than the headline 43 GW. Consistent with VST management's measured view on ERCOT load growth.</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Relevance to VST: </w:t>
      </w:r>
      <w:r>
        <w:rPr>
          <w:rFonts w:ascii="Calibri" w:hAnsi="Calibri"/>
          <w:color w:val="525866"/>
          <w:sz w:val="22"/>
        </w:rPr>
        <w:t>Lower direct read-through (ETR is a regulated utility in the Gulf South, not a direct competitor), but provides useful color on hyperscaler demand trends and new nuclear development.</w:t>
      </w:r>
    </w:p>
    <w:p>
      <w:pPr>
        <w:pStyle w:val="ListBullet"/>
        <w:ind w:left="360" w:hanging="360"/>
      </w:pPr>
      <w:r>
        <w:rPr>
          <w:rFonts w:ascii="Calibri" w:hAnsi="Calibri"/>
          <w:b/>
          <w:color w:val="525866"/>
          <w:sz w:val="22"/>
        </w:rPr>
        <w:t>Hyperscaler pipeline remains very active — 7–12 GW of potential:</w:t>
      </w:r>
      <w:r>
        <w:rPr>
          <w:rFonts w:ascii="Calibri" w:hAnsi="Calibri"/>
          <w:color w:val="525866"/>
          <w:sz w:val="22"/>
        </w:rPr>
        <w:t xml:space="preserve"> ETR maintains a 7–12 GW hyperscale data center pipeline, with the front end of the funnel described as "very, very active." Interest has grown since Investor Day, with new customers beyond historical relationships. ETR: "The actual queue size is much, much greater than that." Louisiana Governor signed executive order requiring data centers to provide customer benefits (consistent with ETR's Fair Share Plus pledge).</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for the sector demand thesis. Hyperscaler engagement remains robust across multiple geographies, supporting VST's view that customer engagement is "as high as ever."</w:t>
      </w:r>
    </w:p>
    <w:p>
      <w:pPr>
        <w:pStyle w:val="ListBullet"/>
        <w:ind w:left="360" w:hanging="360"/>
      </w:pPr>
      <w:r>
        <w:rPr>
          <w:rFonts w:ascii="Calibri" w:hAnsi="Calibri"/>
          <w:b/>
          <w:color w:val="525866"/>
          <w:sz w:val="22"/>
        </w:rPr>
        <w:t>New nuclear — progress but no firm timeline:</w:t>
      </w:r>
      <w:r>
        <w:rPr>
          <w:rFonts w:ascii="Calibri" w:hAnsi="Calibri"/>
          <w:color w:val="525866"/>
          <w:sz w:val="22"/>
        </w:rPr>
        <w:t xml:space="preserve"> ETR is in conversations with Louisiana about new nuclear, with DOE moving the state to the next phase for components supporting new nuclear investment. However, ETR noted: "I don't think we're near where we need to be just yet to be successful in launching." Timeline is customer-led.</w:t>
      </w:r>
    </w:p>
    <w:p>
      <w:pPr>
        <w:pStyle w:val="ListBullet"/>
        <w:ind w:left="360" w:hanging="360"/>
      </w:pPr>
      <w:r>
        <w:rPr>
          <w:rFonts w:ascii="Calibri" w:hAnsi="Calibri"/>
          <w:b/>
          <w:color w:val="525866"/>
          <w:sz w:val="22"/>
        </w:rPr>
        <w:t>VST Read-Through:</w:t>
      </w:r>
      <w:r>
        <w:rPr>
          <w:rFonts w:ascii="Calibri" w:hAnsi="Calibri"/>
          <w:b/>
          <w:color w:val="002FA7"/>
          <w:sz w:val="22"/>
        </w:rPr>
        <w:t xml:space="preserve"> Neutral. New nuclear timelines remain long and uncertain across the industry. VST's existing operating nuclear fleet (Beaver Valley, Comanche Peak) is a significant competitive advantage over utilities still in the planning phase.</w:t>
      </w:r>
    </w:p>
    <w:p>
      <w:pPr>
        <w:pStyle w:val="ListBullet"/>
        <w:ind w:left="360" w:hanging="360"/>
      </w:pPr>
      <w:r>
        <w:rPr>
          <w:rFonts w:ascii="Calibri" w:hAnsi="Calibri"/>
          <w:b/>
          <w:color w:val="525866"/>
          <w:sz w:val="22"/>
        </w:rPr>
        <w:t>Power market described as "much tighter than it has been over the recent past":</w:t>
      </w:r>
      <w:r>
        <w:rPr>
          <w:rFonts w:ascii="Calibri" w:hAnsi="Calibri"/>
          <w:color w:val="525866"/>
          <w:sz w:val="22"/>
        </w:rPr>
        <w:t xml:space="preserve"> ETR noted the current market environment is significantly tighter, with the alternative to acquiring the Cottonwood gas plant being a new plant "not available for several years until the early part of the next decade" at much greater cost.</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Tight power markets benefit VST's generation fleet. The difficulty and cost of new builds reinforces the scarcity value of VST's existing ~50,000 MW fleet.</w:t>
      </w:r>
    </w:p>
    <w:p>
      <w:pPr>
        <w:pStyle w:val="ListBullet"/>
        <w:ind w:left="360" w:hanging="360"/>
      </w:pPr>
      <w:r>
        <w:rPr>
          <w:rFonts w:ascii="Calibri" w:hAnsi="Calibri"/>
          <w:b/>
          <w:color w:val="525866"/>
          <w:sz w:val="22"/>
        </w:rPr>
        <w:t>10% industrial sales growth driven by new and expansion projects:</w:t>
      </w:r>
      <w:r>
        <w:rPr>
          <w:rFonts w:ascii="Calibri" w:hAnsi="Calibri"/>
          <w:color w:val="525866"/>
          <w:sz w:val="22"/>
        </w:rPr>
        <w:t xml:space="preserve"> ETR reported 10% industrial sales growth in Q2 as new and expansion projects ramp up operations, driven by data centers and traditional industrial segments. Gulf South corridor experiencing a "massive construction and manufacturing boom."</w:t>
      </w:r>
    </w:p>
    <w:p>
      <w:pPr>
        <w:pStyle w:val="ListBullet"/>
        <w:ind w:left="360" w:hanging="360"/>
      </w:pPr>
      <w:r>
        <w:rPr>
          <w:rFonts w:ascii="Calibri" w:hAnsi="Calibri"/>
          <w:b/>
          <w:color w:val="525866"/>
          <w:sz w:val="22"/>
        </w:rPr>
        <w:t>VST Read-Through:</w:t>
      </w:r>
      <w:r>
        <w:rPr>
          <w:rFonts w:ascii="Calibri" w:hAnsi="Calibri"/>
          <w:b/>
          <w:color w:val="30A46C"/>
          <w:sz w:val="22"/>
        </w:rPr>
        <w:t xml:space="preserve"> Positive for the long-term load growth thesis. Industrial demand growth is broad-based, not just data centers, supporting the structural demand outlook for power.</w:t>
      </w:r>
    </w:p>
    <w:p>
      <w:r>
        <w:br w:type="page"/>
      </w:r>
    </w:p>
    <w:p>
      <w:r>
        <w:rPr>
          <w:rFonts w:ascii="Calibri" w:hAnsi="Calibri"/>
          <w:b/>
          <w:color w:val="525866"/>
          <w:sz w:val="22"/>
        </w:rPr>
        <w:t xml:space="preserve">Disclaimer: </w:t>
      </w:r>
      <w:r>
        <w:rPr>
          <w:rFonts w:ascii="Calibri" w:hAnsi="Calibri"/>
          <w:i/>
          <w:color w:val="525866"/>
          <w:sz w:val="22"/>
        </w:rPr>
        <w:t>This earnings preview is prepared for informational purposes only and is based on publicly available information including SEC filings, earnings call transcripts, and third-party consensus data from Visible Alpha. All consensus estimates are sourced from Visible Alpha and are as of the dates noted. Stock price data sourced from Yahoo Finance. Insider transaction data sourced from SEC Form 4 filings. This document does not constitute investment advice. Past performance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