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Vistra Corp. (VST)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Vistra Corp.</w:t>
            </w:r>
          </w:p>
        </w:tc>
      </w:tr>
      <w:tr>
        <w:tc>
          <w:tcPr>
            <w:tcW w:type="dxa" w:w="4320"/>
          </w:tcPr>
          <w:p>
            <w:r>
              <w:rPr>
                <w:rFonts w:ascii="Calibri" w:hAnsi="Calibri"/>
                <w:b/>
                <w:sz w:val="22"/>
              </w:rPr>
              <w:t>Ticker</w:t>
            </w:r>
          </w:p>
        </w:tc>
        <w:tc>
          <w:tcPr>
            <w:tcW w:type="dxa" w:w="4320"/>
          </w:tcPr>
          <w:p>
            <w:r>
              <w:rPr>
                <w:rFonts w:ascii="Calibri" w:hAnsi="Calibri"/>
                <w:sz w:val="22"/>
              </w:rPr>
              <w:t>VST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7, 2026 — 10:00 AM ET</w:t>
            </w:r>
          </w:p>
        </w:tc>
      </w:tr>
      <w:tr>
        <w:tc>
          <w:tcPr>
            <w:tcW w:type="dxa" w:w="4320"/>
          </w:tcPr>
          <w:p>
            <w:r>
              <w:rPr>
                <w:rFonts w:ascii="Calibri" w:hAnsi="Calibri"/>
                <w:b/>
                <w:sz w:val="22"/>
              </w:rPr>
              <w:t>Prepared</w:t>
            </w:r>
          </w:p>
        </w:tc>
        <w:tc>
          <w:tcPr>
            <w:tcW w:type="dxa" w:w="4320"/>
          </w:tcPr>
          <w:p>
            <w:r>
              <w:rPr>
                <w:rFonts w:ascii="Calibri" w:hAnsi="Calibri"/>
                <w:sz w:val="22"/>
              </w:rPr>
              <w:t>August 6, 2026</w:t>
            </w:r>
          </w:p>
        </w:tc>
      </w:tr>
      <w:tr>
        <w:tc>
          <w:tcPr>
            <w:tcW w:type="dxa" w:w="4320"/>
          </w:tcPr>
          <w:p>
            <w:r>
              <w:rPr>
                <w:rFonts w:ascii="Calibri" w:hAnsi="Calibri"/>
                <w:b/>
                <w:sz w:val="22"/>
              </w:rPr>
              <w:t>Sector / Sub-Sector</w:t>
            </w:r>
          </w:p>
        </w:tc>
        <w:tc>
          <w:tcPr>
            <w:tcW w:type="dxa" w:w="4320"/>
          </w:tcPr>
          <w:p>
            <w:r>
              <w:rPr>
                <w:rFonts w:ascii="Calibri" w:hAnsi="Calibri"/>
                <w:sz w:val="22"/>
              </w:rPr>
              <w:t>Utilities / Integrated Power Generation &amp; Retail</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is a manageable bar, the integrated model should again offset ERCOT softness, and the PJM capacity auction result ($325/MW-day for 10.9 GW) is a material positive not yet fully reflected in estimates; the biggest swing factor is whether management provides incremental Cogentrix/Meta PPA guidance or new nuclear contracting announcements.</w:t>
      </w:r>
    </w:p>
    <w:p>
      <w:r>
        <w:rPr>
          <w:rFonts w:ascii="Calibri" w:hAnsi="Calibri"/>
          <w:color w:val="525866"/>
          <w:sz w:val="22"/>
        </w:rPr>
        <w:t xml:space="preserve">Vistra heads into Q2 2026 earnings with a bar that looks beatable on Adjusted EBITDA — consensus sits at approximately $1.64 billion, modestly above the Q1 2026 record of $1.49 billion but well within the trajectory implied by full-year guidance of $7.38 billion (midpoint). </w:t>
      </w:r>
      <w:r>
        <w:rPr>
          <w:rFonts w:ascii="Calibri" w:hAnsi="Calibri"/>
          <w:b/>
          <w:color w:val="525866"/>
          <w:sz w:val="22"/>
        </w:rPr>
        <w:t>Management's tone on the Q1 call was confident and unchanged</w:t>
      </w:r>
      <w:r>
        <w:rPr>
          <w:rFonts w:ascii="Calibri" w:hAnsi="Calibri"/>
          <w:color w:val="525866"/>
          <w:sz w:val="22"/>
        </w:rPr>
        <w:t xml:space="preserve">: 2026 guidance was reaffirmed in full, the 2027 midpoint opportunity range was maintained, and the team pushed back firmly against any suggestion that customer engagement had slowed due to regulatory uncertainty in PJM. Estimate revisions have drifted modestly lower since the Q1 print — the August consensus EPS of ~$1.51 is down from ~$1.88 in September 2025 — but this reflects mark-to-market on softer ERCOT forwards and mild weather rather than a structural deterioration in the thesis. </w:t>
      </w:r>
      <w:r>
        <w:rPr>
          <w:rFonts w:ascii="Calibri" w:hAnsi="Calibri"/>
          <w:b/>
          <w:color w:val="525866"/>
          <w:sz w:val="22"/>
        </w:rPr>
        <w:t>The stock has underperformed both XLU and the S&amp;P 500 since the May 7 print</w:t>
      </w:r>
      <w:r>
        <w:rPr>
          <w:rFonts w:ascii="Calibri" w:hAnsi="Calibri"/>
          <w:color w:val="525866"/>
          <w:sz w:val="22"/>
        </w:rPr>
        <w:t xml:space="preserve"> (VST -8.1% vs. XLU -3.9% and SPY +5.1% through August 5), driven almost entirely by multiple compression (EV/EBITDA contracted from ~9.5x to ~8.6x over six months) as ERCOT forward curves softened and the AI power narrative cooled from peak enthusiasm. The wildcard heading into the print is the </w:t>
      </w:r>
      <w:r>
        <w:rPr>
          <w:rFonts w:ascii="Calibri" w:hAnsi="Calibri"/>
          <w:b/>
          <w:color w:val="525866"/>
          <w:sz w:val="22"/>
        </w:rPr>
        <w:t>July 14 PJM capacity auction result — 10.9 GW cleared at $325/MW-day</w:t>
      </w:r>
      <w:r>
        <w:rPr>
          <w:rFonts w:ascii="Calibri" w:hAnsi="Calibri"/>
          <w:color w:val="525866"/>
          <w:sz w:val="22"/>
        </w:rPr>
        <w:t xml:space="preserve"> — which is a significant positive for the East segment and could prompt a guidance raise or at minimum a constructive update on 2027 capacity revenue visibility; any incremental commentary on Cogentrix closing timing or new nuclear PPA announcements would be additional catalysts.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Adjusted EBITDA of ~$1.64B is a manageable bar given Q1’s record $1.49B and the seasonal tailwind of summer peak demand; nuclear capacity factor is the bigger swing factor given the Meta PPA ramp and any unplanned outages at Comanche Peak or Beaver Valley.</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2026 Guidance (Full Year)</w:t>
            </w:r>
          </w:p>
        </w:tc>
        <w:tc>
          <w:tcPr>
            <w:tcW w:type="dxa" w:w="1234"/>
            <w:shd w:val="clear" w:color="auto" w:fill="3B4259"/>
          </w:tcPr>
          <w:p>
            <w:r>
              <w:rPr>
                <w:rFonts w:ascii="Calibri" w:hAnsi="Calibri"/>
                <w:b/>
                <w:color w:val="FFFFFF"/>
                <w:sz w:val="22"/>
              </w:rPr>
              <w:t>Consensus vs. Guidance Note</w:t>
            </w:r>
          </w:p>
        </w:tc>
      </w:tr>
      <w:tr>
        <w:tc>
          <w:tcPr>
            <w:tcW w:type="dxa" w:w="1234"/>
          </w:tcPr>
          <w:p>
            <w:r>
              <w:rPr>
                <w:rFonts w:ascii="Calibri" w:hAnsi="Calibri"/>
                <w:sz w:val="22"/>
              </w:rPr>
              <w:t>Adjusted EBITDA</w:t>
            </w:r>
          </w:p>
        </w:tc>
        <w:tc>
          <w:tcPr>
            <w:tcW w:type="dxa" w:w="1234"/>
          </w:tcPr>
          <w:p>
            <w:r>
              <w:rPr>
                <w:rFonts w:ascii="Calibri" w:hAnsi="Calibri"/>
                <w:sz w:val="22"/>
              </w:rPr>
              <w:t>$1,494M</w:t>
            </w:r>
          </w:p>
        </w:tc>
        <w:tc>
          <w:tcPr>
            <w:tcW w:type="dxa" w:w="1234"/>
          </w:tcPr>
          <w:p>
            <w:r>
              <w:rPr>
                <w:rFonts w:ascii="Calibri" w:hAnsi="Calibri"/>
                <w:sz w:val="22"/>
              </w:rPr>
              <w:t>$1,349M</w:t>
            </w:r>
          </w:p>
        </w:tc>
        <w:tc>
          <w:tcPr>
            <w:tcW w:type="dxa" w:w="1234"/>
          </w:tcPr>
          <w:p>
            <w:r>
              <w:rPr>
                <w:rFonts w:ascii="Calibri" w:hAnsi="Calibri"/>
                <w:sz w:val="22"/>
              </w:rPr>
              <w:t>$1,638M</w:t>
            </w:r>
          </w:p>
        </w:tc>
        <w:tc>
          <w:tcPr>
            <w:tcW w:type="dxa" w:w="1234"/>
          </w:tcPr>
          <w:p>
            <w:r>
              <w:rPr>
                <w:rFonts w:ascii="Calibri" w:hAnsi="Calibri"/>
                <w:sz w:val="22"/>
              </w:rPr>
              <w:t>+21.4% YoY</w:t>
            </w:r>
          </w:p>
        </w:tc>
        <w:tc>
          <w:tcPr>
            <w:tcW w:type="dxa" w:w="1234"/>
          </w:tcPr>
          <w:p>
            <w:r>
              <w:rPr>
                <w:rFonts w:ascii="Calibri" w:hAnsi="Calibri"/>
                <w:sz w:val="22"/>
              </w:rPr>
              <w:t>$7,385M midpoint (FY)</w:t>
            </w:r>
          </w:p>
        </w:tc>
        <w:tc>
          <w:tcPr>
            <w:tcW w:type="dxa" w:w="1234"/>
          </w:tcPr>
          <w:p>
            <w:r>
              <w:rPr>
                <w:rFonts w:ascii="Calibri" w:hAnsi="Calibri"/>
                <w:sz w:val="22"/>
              </w:rPr>
              <w:t>Q2 cons. implies ~22% of FY midpoint; on-track pace</w:t>
            </w:r>
          </w:p>
        </w:tc>
      </w:tr>
      <w:tr>
        <w:tc>
          <w:tcPr>
            <w:tcW w:type="dxa" w:w="1234"/>
          </w:tcPr>
          <w:p>
            <w:r>
              <w:rPr>
                <w:rFonts w:ascii="Calibri" w:hAnsi="Calibri"/>
                <w:sz w:val="22"/>
              </w:rPr>
              <w:t>EPS — Diluted (Adjusted)</w:t>
            </w:r>
          </w:p>
        </w:tc>
        <w:tc>
          <w:tcPr>
            <w:tcW w:type="dxa" w:w="1234"/>
          </w:tcPr>
          <w:p>
            <w:r>
              <w:rPr>
                <w:rFonts w:ascii="Calibri" w:hAnsi="Calibri"/>
                <w:sz w:val="22"/>
              </w:rPr>
              <w:t>$2.87</w:t>
            </w:r>
          </w:p>
        </w:tc>
        <w:tc>
          <w:tcPr>
            <w:tcW w:type="dxa" w:w="1234"/>
          </w:tcPr>
          <w:p>
            <w:r>
              <w:rPr>
                <w:rFonts w:ascii="Calibri" w:hAnsi="Calibri"/>
                <w:sz w:val="22"/>
              </w:rPr>
              <w:t>$0.81</w:t>
            </w:r>
          </w:p>
        </w:tc>
        <w:tc>
          <w:tcPr>
            <w:tcW w:type="dxa" w:w="1234"/>
          </w:tcPr>
          <w:p>
            <w:r>
              <w:rPr>
                <w:rFonts w:ascii="Calibri" w:hAnsi="Calibri"/>
                <w:sz w:val="22"/>
              </w:rPr>
              <w:t>$1.51</w:t>
            </w:r>
          </w:p>
        </w:tc>
        <w:tc>
          <w:tcPr>
            <w:tcW w:type="dxa" w:w="1234"/>
          </w:tcPr>
          <w:p>
            <w:r>
              <w:rPr>
                <w:rFonts w:ascii="Calibri" w:hAnsi="Calibri"/>
                <w:sz w:val="22"/>
              </w:rPr>
              <w:t>+86.4% YoY</w:t>
            </w:r>
          </w:p>
        </w:tc>
        <w:tc>
          <w:tcPr>
            <w:tcW w:type="dxa" w:w="1234"/>
          </w:tcPr>
          <w:p>
            <w:r>
              <w:rPr>
                <w:rFonts w:ascii="Calibri" w:hAnsi="Calibri"/>
                <w:sz w:val="22"/>
              </w:rPr>
              <w:t>$8.92 midpoint (FY)</w:t>
            </w:r>
          </w:p>
        </w:tc>
        <w:tc>
          <w:tcPr>
            <w:tcW w:type="dxa" w:w="1234"/>
          </w:tcPr>
          <w:p>
            <w:r>
              <w:rPr>
                <w:rFonts w:ascii="Calibri" w:hAnsi="Calibri"/>
                <w:sz w:val="22"/>
              </w:rPr>
              <w:t>Q2 cons. implies ~17% of FY; H2 weighted</w:t>
            </w:r>
          </w:p>
        </w:tc>
      </w:tr>
      <w:tr>
        <w:tc>
          <w:tcPr>
            <w:tcW w:type="dxa" w:w="1234"/>
          </w:tcPr>
          <w:p>
            <w:r>
              <w:rPr>
                <w:rFonts w:ascii="Calibri" w:hAnsi="Calibri"/>
                <w:sz w:val="22"/>
              </w:rPr>
              <w:t>Total Revenue</w:t>
            </w:r>
          </w:p>
        </w:tc>
        <w:tc>
          <w:tcPr>
            <w:tcW w:type="dxa" w:w="1234"/>
          </w:tcPr>
          <w:p>
            <w:r>
              <w:rPr>
                <w:rFonts w:ascii="Calibri" w:hAnsi="Calibri"/>
                <w:sz w:val="22"/>
              </w:rPr>
              <w:t>$5,640M</w:t>
            </w:r>
          </w:p>
        </w:tc>
        <w:tc>
          <w:tcPr>
            <w:tcW w:type="dxa" w:w="1234"/>
          </w:tcPr>
          <w:p>
            <w:r>
              <w:rPr>
                <w:rFonts w:ascii="Calibri" w:hAnsi="Calibri"/>
                <w:sz w:val="22"/>
              </w:rPr>
              <w:t>$4,250M</w:t>
            </w:r>
          </w:p>
        </w:tc>
        <w:tc>
          <w:tcPr>
            <w:tcW w:type="dxa" w:w="1234"/>
          </w:tcPr>
          <w:p>
            <w:r>
              <w:rPr>
                <w:rFonts w:ascii="Calibri" w:hAnsi="Calibri"/>
                <w:sz w:val="22"/>
              </w:rPr>
              <w:t>$5,513M</w:t>
            </w:r>
          </w:p>
        </w:tc>
        <w:tc>
          <w:tcPr>
            <w:tcW w:type="dxa" w:w="1234"/>
          </w:tcPr>
          <w:p>
            <w:r>
              <w:rPr>
                <w:rFonts w:ascii="Calibri" w:hAnsi="Calibri"/>
                <w:sz w:val="22"/>
              </w:rPr>
              <w:t>+29.7% YoY</w:t>
            </w:r>
          </w:p>
        </w:tc>
        <w:tc>
          <w:tcPr>
            <w:tcW w:type="dxa" w:w="1234"/>
          </w:tcPr>
          <w:p>
            <w:r>
              <w:rPr>
                <w:rFonts w:ascii="Calibri" w:hAnsi="Calibri"/>
                <w:sz w:val="22"/>
              </w:rPr>
              <w:t>$24,353M midpoint (FY)</w:t>
            </w:r>
          </w:p>
        </w:tc>
        <w:tc>
          <w:tcPr>
            <w:tcW w:type="dxa" w:w="1234"/>
          </w:tcPr>
          <w:p>
            <w:r>
              <w:rPr>
                <w:rFonts w:ascii="Calibri" w:hAnsi="Calibri"/>
                <w:sz w:val="22"/>
              </w:rPr>
              <w:t>Less relevant; mark-to-market derivatives distort</w:t>
            </w:r>
          </w:p>
        </w:tc>
      </w:tr>
      <w:tr>
        <w:tc>
          <w:tcPr>
            <w:tcW w:type="dxa" w:w="1234"/>
          </w:tcPr>
          <w:p>
            <w:r>
              <w:rPr>
                <w:rFonts w:ascii="Calibri" w:hAnsi="Calibri"/>
                <w:sz w:val="22"/>
              </w:rPr>
              <w:t>Capacity Revenue</w:t>
            </w:r>
          </w:p>
        </w:tc>
        <w:tc>
          <w:tcPr>
            <w:tcW w:type="dxa" w:w="1234"/>
          </w:tcPr>
          <w:p>
            <w:r>
              <w:rPr>
                <w:rFonts w:ascii="Calibri" w:hAnsi="Calibri"/>
                <w:sz w:val="22"/>
              </w:rPr>
              <w:t>$122M</w:t>
            </w:r>
          </w:p>
        </w:tc>
        <w:tc>
          <w:tcPr>
            <w:tcW w:type="dxa" w:w="1234"/>
          </w:tcPr>
          <w:p>
            <w:r>
              <w:rPr>
                <w:rFonts w:ascii="Calibri" w:hAnsi="Calibri"/>
                <w:sz w:val="22"/>
              </w:rPr>
              <w:t>$130M</w:t>
            </w:r>
          </w:p>
        </w:tc>
        <w:tc>
          <w:tcPr>
            <w:tcW w:type="dxa" w:w="1234"/>
          </w:tcPr>
          <w:p>
            <w:r>
              <w:rPr>
                <w:rFonts w:ascii="Calibri" w:hAnsi="Calibri"/>
                <w:sz w:val="22"/>
              </w:rPr>
              <w:t>$402M</w:t>
            </w:r>
          </w:p>
        </w:tc>
        <w:tc>
          <w:tcPr>
            <w:tcW w:type="dxa" w:w="1234"/>
          </w:tcPr>
          <w:p>
            <w:r>
              <w:rPr>
                <w:rFonts w:ascii="Calibri" w:hAnsi="Calibri"/>
                <w:sz w:val="22"/>
              </w:rPr>
              <w:t>+209% YoY</w:t>
            </w:r>
          </w:p>
        </w:tc>
        <w:tc>
          <w:tcPr>
            <w:tcW w:type="dxa" w:w="1234"/>
          </w:tcPr>
          <w:p>
            <w:r>
              <w:rPr>
                <w:rFonts w:ascii="Calibri" w:hAnsi="Calibri"/>
                <w:sz w:val="22"/>
              </w:rPr>
              <w:t>$1,589M midpoint (FY)</w:t>
            </w:r>
          </w:p>
        </w:tc>
        <w:tc>
          <w:tcPr>
            <w:tcW w:type="dxa" w:w="1234"/>
          </w:tcPr>
          <w:p>
            <w:r>
              <w:rPr>
                <w:rFonts w:ascii="Calibri" w:hAnsi="Calibri"/>
                <w:sz w:val="22"/>
              </w:rPr>
              <w:t>Step-up driven by record PJM auction clearing prices</w:t>
            </w:r>
          </w:p>
        </w:tc>
      </w:tr>
      <w:tr>
        <w:tc>
          <w:tcPr>
            <w:tcW w:type="dxa" w:w="1234"/>
          </w:tcPr>
          <w:p>
            <w:r>
              <w:rPr>
                <w:rFonts w:ascii="Calibri" w:hAnsi="Calibri"/>
                <w:sz w:val="22"/>
              </w:rPr>
              <w:t>Nuclear Capacity Factor</w:t>
            </w:r>
          </w:p>
        </w:tc>
        <w:tc>
          <w:tcPr>
            <w:tcW w:type="dxa" w:w="1234"/>
          </w:tcPr>
          <w:p>
            <w:r>
              <w:rPr>
                <w:rFonts w:ascii="Calibri" w:hAnsi="Calibri"/>
                <w:sz w:val="22"/>
              </w:rPr>
              <w:t>70.4%</w:t>
            </w:r>
          </w:p>
        </w:tc>
        <w:tc>
          <w:tcPr>
            <w:tcW w:type="dxa" w:w="1234"/>
          </w:tcPr>
          <w:p>
            <w:r>
              <w:rPr>
                <w:rFonts w:ascii="Calibri" w:hAnsi="Calibri"/>
                <w:sz w:val="22"/>
              </w:rPr>
              <w:t>74.6%</w:t>
            </w:r>
          </w:p>
        </w:tc>
        <w:tc>
          <w:tcPr>
            <w:tcW w:type="dxa" w:w="1234"/>
          </w:tcPr>
          <w:p>
            <w:r>
              <w:rPr>
                <w:rFonts w:ascii="Calibri" w:hAnsi="Calibri"/>
                <w:sz w:val="22"/>
              </w:rPr>
              <w:t>77.6%</w:t>
            </w:r>
          </w:p>
        </w:tc>
        <w:tc>
          <w:tcPr>
            <w:tcW w:type="dxa" w:w="1234"/>
          </w:tcPr>
          <w:p>
            <w:r>
              <w:rPr>
                <w:rFonts w:ascii="Calibri" w:hAnsi="Calibri"/>
                <w:sz w:val="22"/>
              </w:rPr>
              <w:t>+3.0 ppts YoY</w:t>
            </w:r>
          </w:p>
        </w:tc>
        <w:tc>
          <w:tcPr>
            <w:tcW w:type="dxa" w:w="1234"/>
          </w:tcPr>
          <w:p>
            <w:r>
              <w:rPr>
                <w:rFonts w:ascii="Calibri" w:hAnsi="Calibri"/>
                <w:sz w:val="22"/>
              </w:rPr>
              <w:t>88.1% FY consensus</w:t>
            </w:r>
          </w:p>
        </w:tc>
        <w:tc>
          <w:tcPr>
            <w:tcW w:type="dxa" w:w="1234"/>
          </w:tcPr>
          <w:p>
            <w:r>
              <w:rPr>
                <w:rFonts w:ascii="Calibri" w:hAnsi="Calibri"/>
                <w:sz w:val="22"/>
              </w:rPr>
              <w:t>Q1 was depressed by refueling; Q2 should normalize</w:t>
            </w:r>
          </w:p>
        </w:tc>
      </w:tr>
      <w:tr>
        <w:tc>
          <w:tcPr>
            <w:tcW w:type="dxa" w:w="1234"/>
          </w:tcPr>
          <w:p>
            <w:r>
              <w:rPr>
                <w:rFonts w:ascii="Calibri" w:hAnsi="Calibri"/>
                <w:sz w:val="22"/>
              </w:rPr>
              <w:t>ERCOT Capacity Factor</w:t>
            </w:r>
          </w:p>
        </w:tc>
        <w:tc>
          <w:tcPr>
            <w:tcW w:type="dxa" w:w="1234"/>
          </w:tcPr>
          <w:p>
            <w:r>
              <w:rPr>
                <w:rFonts w:ascii="Calibri" w:hAnsi="Calibri"/>
                <w:sz w:val="22"/>
              </w:rPr>
              <w:t>20.7%</w:t>
            </w:r>
          </w:p>
        </w:tc>
        <w:tc>
          <w:tcPr>
            <w:tcW w:type="dxa" w:w="1234"/>
          </w:tcPr>
          <w:p>
            <w:r>
              <w:rPr>
                <w:rFonts w:ascii="Calibri" w:hAnsi="Calibri"/>
                <w:sz w:val="22"/>
              </w:rPr>
              <w:t>21.8%</w:t>
            </w:r>
          </w:p>
        </w:tc>
        <w:tc>
          <w:tcPr>
            <w:tcW w:type="dxa" w:w="1234"/>
          </w:tcPr>
          <w:p>
            <w:r>
              <w:rPr>
                <w:rFonts w:ascii="Calibri" w:hAnsi="Calibri"/>
                <w:sz w:val="22"/>
              </w:rPr>
              <w:t>21.7%</w:t>
            </w:r>
          </w:p>
        </w:tc>
        <w:tc>
          <w:tcPr>
            <w:tcW w:type="dxa" w:w="1234"/>
          </w:tcPr>
          <w:p>
            <w:r>
              <w:rPr>
                <w:rFonts w:ascii="Calibri" w:hAnsi="Calibri"/>
                <w:sz w:val="22"/>
              </w:rPr>
              <w:t>~flat YoY</w:t>
            </w:r>
          </w:p>
        </w:tc>
        <w:tc>
          <w:tcPr>
            <w:tcW w:type="dxa" w:w="1234"/>
          </w:tcPr>
          <w:p>
            <w:r>
              <w:rPr>
                <w:rFonts w:ascii="Calibri" w:hAnsi="Calibri"/>
                <w:sz w:val="22"/>
              </w:rPr>
              <w:t>55.5% FY consensus</w:t>
            </w:r>
          </w:p>
        </w:tc>
        <w:tc>
          <w:tcPr>
            <w:tcW w:type="dxa" w:w="1234"/>
          </w:tcPr>
          <w:p>
            <w:r>
              <w:rPr>
                <w:rFonts w:ascii="Calibri" w:hAnsi="Calibri"/>
                <w:sz w:val="22"/>
              </w:rPr>
              <w:t>Summer heat key driver; mild weather = downside risk</w:t>
            </w:r>
          </w:p>
        </w:tc>
      </w:tr>
    </w:tbl>
    <w:p>
      <w:r>
        <w:rPr>
          <w:rFonts w:ascii="Calibri" w:hAnsi="Calibri"/>
          <w:i/>
          <w:color w:val="525866"/>
          <w:sz w:val="22"/>
        </w:rPr>
        <w:t>Source: Visible Alpha Consensus and Actuals Data.</w:t>
      </w:r>
    </w:p>
    <w:p>
      <w:pPr>
        <w:pStyle w:val="Heading3"/>
      </w:pPr>
      <w:r>
        <w:rPr>
          <w:rFonts w:ascii="Calibri" w:hAnsi="Calibri"/>
          <w:b/>
          <w:color w:val="3B4259"/>
          <w:sz w:val="24"/>
        </w:rPr>
        <w:t>Table 2 — Beat/Miss History: Last 8 Quarters (Adjusted EBITDA &amp; Diluted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$1,494M</w:t>
            </w:r>
          </w:p>
        </w:tc>
        <w:tc>
          <w:tcPr>
            <w:tcW w:type="dxa" w:w="1440"/>
          </w:tcPr>
          <w:p>
            <w:r>
              <w:rPr>
                <w:rFonts w:ascii="Calibri" w:hAnsi="Calibri"/>
                <w:sz w:val="22"/>
              </w:rPr>
              <w:t>$1,478M</w:t>
            </w:r>
          </w:p>
        </w:tc>
        <w:tc>
          <w:tcPr>
            <w:tcW w:type="dxa" w:w="1440"/>
          </w:tcPr>
          <w:p>
            <w:r>
              <w:rPr>
                <w:rFonts w:ascii="Calibri" w:hAnsi="Calibri"/>
                <w:b/>
                <w:color w:val="30A46C"/>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EPS (Diluted)</w:t>
            </w:r>
          </w:p>
        </w:tc>
        <w:tc>
          <w:tcPr>
            <w:tcW w:type="dxa" w:w="1440"/>
          </w:tcPr>
          <w:p>
            <w:r>
              <w:rPr>
                <w:rFonts w:ascii="Calibri" w:hAnsi="Calibri"/>
                <w:sz w:val="22"/>
              </w:rPr>
              <w:t>$2.87</w:t>
            </w:r>
          </w:p>
        </w:tc>
        <w:tc>
          <w:tcPr>
            <w:tcW w:type="dxa" w:w="1440"/>
          </w:tcPr>
          <w:p>
            <w:r>
              <w:rPr>
                <w:rFonts w:ascii="Calibri" w:hAnsi="Calibri"/>
                <w:sz w:val="22"/>
              </w:rPr>
              <w:t>$2.12</w:t>
            </w:r>
          </w:p>
        </w:tc>
        <w:tc>
          <w:tcPr>
            <w:tcW w:type="dxa" w:w="1440"/>
          </w:tcPr>
          <w:p>
            <w:r>
              <w:rPr>
                <w:rFonts w:ascii="Calibri" w:hAnsi="Calibri"/>
                <w:b/>
                <w:color w:val="30A46C"/>
                <w:sz w:val="22"/>
              </w:rPr>
              <w:t>+35.4%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$1,726M</w:t>
            </w:r>
          </w:p>
        </w:tc>
        <w:tc>
          <w:tcPr>
            <w:tcW w:type="dxa" w:w="1440"/>
          </w:tcPr>
          <w:p>
            <w:r>
              <w:rPr>
                <w:rFonts w:ascii="Calibri" w:hAnsi="Calibri"/>
                <w:sz w:val="22"/>
              </w:rPr>
              <w:t>$1,683M</w:t>
            </w:r>
          </w:p>
        </w:tc>
        <w:tc>
          <w:tcPr>
            <w:tcW w:type="dxa" w:w="1440"/>
          </w:tcPr>
          <w:p>
            <w:r>
              <w:rPr>
                <w:rFonts w:ascii="Calibri" w:hAnsi="Calibri"/>
                <w:b/>
                <w:color w:val="30A46C"/>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EPS (Diluted)</w:t>
            </w:r>
          </w:p>
        </w:tc>
        <w:tc>
          <w:tcPr>
            <w:tcW w:type="dxa" w:w="1440"/>
          </w:tcPr>
          <w:p>
            <w:r>
              <w:rPr>
                <w:rFonts w:ascii="Calibri" w:hAnsi="Calibri"/>
                <w:sz w:val="22"/>
              </w:rPr>
              <w:t>$0.55</w:t>
            </w:r>
          </w:p>
        </w:tc>
        <w:tc>
          <w:tcPr>
            <w:tcW w:type="dxa" w:w="1440"/>
          </w:tcPr>
          <w:p>
            <w:r>
              <w:rPr>
                <w:rFonts w:ascii="Calibri" w:hAnsi="Calibri"/>
                <w:sz w:val="22"/>
              </w:rPr>
              <w:t>$3.09</w:t>
            </w:r>
          </w:p>
        </w:tc>
        <w:tc>
          <w:tcPr>
            <w:tcW w:type="dxa" w:w="1440"/>
          </w:tcPr>
          <w:p>
            <w:r>
              <w:rPr>
                <w:rFonts w:ascii="Calibri" w:hAnsi="Calibri"/>
                <w:b/>
                <w:color w:val="E5484D"/>
                <w:sz w:val="22"/>
              </w:rPr>
              <w:t>-82.2%</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$1,564M</w:t>
            </w:r>
          </w:p>
        </w:tc>
        <w:tc>
          <w:tcPr>
            <w:tcW w:type="dxa" w:w="1440"/>
          </w:tcPr>
          <w:p>
            <w:r>
              <w:rPr>
                <w:rFonts w:ascii="Calibri" w:hAnsi="Calibri"/>
                <w:sz w:val="22"/>
              </w:rPr>
              <w:t>$1,741M</w:t>
            </w:r>
          </w:p>
        </w:tc>
        <w:tc>
          <w:tcPr>
            <w:tcW w:type="dxa" w:w="1440"/>
          </w:tcPr>
          <w:p>
            <w:r>
              <w:rPr>
                <w:rFonts w:ascii="Calibri" w:hAnsi="Calibri"/>
                <w:b/>
                <w:color w:val="E5484D"/>
                <w:sz w:val="22"/>
              </w:rPr>
              <w:t>-10.2%</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EPS (Diluted)</w:t>
            </w:r>
          </w:p>
        </w:tc>
        <w:tc>
          <w:tcPr>
            <w:tcW w:type="dxa" w:w="1440"/>
          </w:tcPr>
          <w:p>
            <w:r>
              <w:rPr>
                <w:rFonts w:ascii="Calibri" w:hAnsi="Calibri"/>
                <w:sz w:val="22"/>
              </w:rPr>
              <w:t>$1.75</w:t>
            </w:r>
          </w:p>
        </w:tc>
        <w:tc>
          <w:tcPr>
            <w:tcW w:type="dxa" w:w="1440"/>
          </w:tcPr>
          <w:p>
            <w:r>
              <w:rPr>
                <w:rFonts w:ascii="Calibri" w:hAnsi="Calibri"/>
                <w:sz w:val="22"/>
              </w:rPr>
              <w:t>$2.64</w:t>
            </w:r>
          </w:p>
        </w:tc>
        <w:tc>
          <w:tcPr>
            <w:tcW w:type="dxa" w:w="1440"/>
          </w:tcPr>
          <w:p>
            <w:r>
              <w:rPr>
                <w:rFonts w:ascii="Calibri" w:hAnsi="Calibri"/>
                <w:b/>
                <w:color w:val="E5484D"/>
                <w:sz w:val="22"/>
              </w:rPr>
              <w:t>-33.7%</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$1,349M</w:t>
            </w:r>
          </w:p>
        </w:tc>
        <w:tc>
          <w:tcPr>
            <w:tcW w:type="dxa" w:w="1440"/>
          </w:tcPr>
          <w:p>
            <w:r>
              <w:rPr>
                <w:rFonts w:ascii="Calibri" w:hAnsi="Calibri"/>
                <w:sz w:val="22"/>
              </w:rPr>
              <w:t>$1,383M</w:t>
            </w:r>
          </w:p>
        </w:tc>
        <w:tc>
          <w:tcPr>
            <w:tcW w:type="dxa" w:w="1440"/>
          </w:tcPr>
          <w:p>
            <w:r>
              <w:rPr>
                <w:rFonts w:ascii="Calibri" w:hAnsi="Calibri"/>
                <w:b/>
                <w:color w:val="E5484D"/>
                <w:sz w:val="22"/>
              </w:rPr>
              <w:t>-2.5%</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EPS (Diluted)</w:t>
            </w:r>
          </w:p>
        </w:tc>
        <w:tc>
          <w:tcPr>
            <w:tcW w:type="dxa" w:w="1440"/>
          </w:tcPr>
          <w:p>
            <w:r>
              <w:rPr>
                <w:rFonts w:ascii="Calibri" w:hAnsi="Calibri"/>
                <w:sz w:val="22"/>
              </w:rPr>
              <w:t>$0.81</w:t>
            </w:r>
          </w:p>
        </w:tc>
        <w:tc>
          <w:tcPr>
            <w:tcW w:type="dxa" w:w="1440"/>
          </w:tcPr>
          <w:p>
            <w:r>
              <w:rPr>
                <w:rFonts w:ascii="Calibri" w:hAnsi="Calibri"/>
                <w:sz w:val="22"/>
              </w:rPr>
              <w:t>$0.98</w:t>
            </w:r>
          </w:p>
        </w:tc>
        <w:tc>
          <w:tcPr>
            <w:tcW w:type="dxa" w:w="1440"/>
          </w:tcPr>
          <w:p>
            <w:r>
              <w:rPr>
                <w:rFonts w:ascii="Calibri" w:hAnsi="Calibri"/>
                <w:b/>
                <w:color w:val="E5484D"/>
                <w:sz w:val="22"/>
              </w:rPr>
              <w:t>-17.3%</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$1,240M</w:t>
            </w:r>
          </w:p>
        </w:tc>
        <w:tc>
          <w:tcPr>
            <w:tcW w:type="dxa" w:w="1440"/>
          </w:tcPr>
          <w:p>
            <w:r>
              <w:rPr>
                <w:rFonts w:ascii="Calibri" w:hAnsi="Calibri"/>
                <w:sz w:val="22"/>
              </w:rPr>
              <w:t>$1,065M</w:t>
            </w:r>
          </w:p>
        </w:tc>
        <w:tc>
          <w:tcPr>
            <w:tcW w:type="dxa" w:w="1440"/>
          </w:tcPr>
          <w:p>
            <w:r>
              <w:rPr>
                <w:rFonts w:ascii="Calibri" w:hAnsi="Calibri"/>
                <w:b/>
                <w:color w:val="30A46C"/>
                <w:sz w:val="22"/>
              </w:rPr>
              <w:t>+16.4%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EPS (Diluted)</w:t>
            </w:r>
          </w:p>
        </w:tc>
        <w:tc>
          <w:tcPr>
            <w:tcW w:type="dxa" w:w="1440"/>
          </w:tcPr>
          <w:p>
            <w:r>
              <w:rPr>
                <w:rFonts w:ascii="Calibri" w:hAnsi="Calibri"/>
                <w:sz w:val="22"/>
              </w:rPr>
              <w:t>-$0.93</w:t>
            </w:r>
          </w:p>
        </w:tc>
        <w:tc>
          <w:tcPr>
            <w:tcW w:type="dxa" w:w="1440"/>
          </w:tcPr>
          <w:p>
            <w:r>
              <w:rPr>
                <w:rFonts w:ascii="Calibri" w:hAnsi="Calibri"/>
                <w:sz w:val="22"/>
              </w:rPr>
              <w:t>$0.85</w:t>
            </w:r>
          </w:p>
        </w:tc>
        <w:tc>
          <w:tcPr>
            <w:tcW w:type="dxa" w:w="1440"/>
          </w:tcPr>
          <w:p>
            <w:r>
              <w:rPr>
                <w:rFonts w:ascii="Calibri" w:hAnsi="Calibri"/>
                <w:b/>
                <w:color w:val="E5484D"/>
                <w:sz w:val="22"/>
              </w:rPr>
              <w:t>N/M</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$1,934M</w:t>
            </w:r>
          </w:p>
        </w:tc>
        <w:tc>
          <w:tcPr>
            <w:tcW w:type="dxa" w:w="1440"/>
          </w:tcPr>
          <w:p>
            <w:r>
              <w:rPr>
                <w:rFonts w:ascii="Calibri" w:hAnsi="Calibri"/>
                <w:sz w:val="22"/>
              </w:rPr>
              <w:t>$1,588M</w:t>
            </w:r>
          </w:p>
        </w:tc>
        <w:tc>
          <w:tcPr>
            <w:tcW w:type="dxa" w:w="1440"/>
          </w:tcPr>
          <w:p>
            <w:r>
              <w:rPr>
                <w:rFonts w:ascii="Calibri" w:hAnsi="Calibri"/>
                <w:b/>
                <w:color w:val="30A46C"/>
                <w:sz w:val="22"/>
              </w:rPr>
              <w:t>+21.8%</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EPS (Diluted)</w:t>
            </w:r>
          </w:p>
        </w:tc>
        <w:tc>
          <w:tcPr>
            <w:tcW w:type="dxa" w:w="1440"/>
          </w:tcPr>
          <w:p>
            <w:r>
              <w:rPr>
                <w:rFonts w:ascii="Calibri" w:hAnsi="Calibri"/>
                <w:sz w:val="22"/>
              </w:rPr>
              <w:t>$1.09</w:t>
            </w:r>
          </w:p>
        </w:tc>
        <w:tc>
          <w:tcPr>
            <w:tcW w:type="dxa" w:w="1440"/>
          </w:tcPr>
          <w:p>
            <w:r>
              <w:rPr>
                <w:rFonts w:ascii="Calibri" w:hAnsi="Calibri"/>
                <w:sz w:val="22"/>
              </w:rPr>
              <w:t>$0.79</w:t>
            </w:r>
          </w:p>
        </w:tc>
        <w:tc>
          <w:tcPr>
            <w:tcW w:type="dxa" w:w="1440"/>
          </w:tcPr>
          <w:p>
            <w:r>
              <w:rPr>
                <w:rFonts w:ascii="Calibri" w:hAnsi="Calibri"/>
                <w:b/>
                <w:color w:val="30A46C"/>
                <w:sz w:val="22"/>
              </w:rPr>
              <w:t>+38.0%</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$1,427M</w:t>
            </w:r>
          </w:p>
        </w:tc>
        <w:tc>
          <w:tcPr>
            <w:tcW w:type="dxa" w:w="1440"/>
          </w:tcPr>
          <w:p>
            <w:r>
              <w:rPr>
                <w:rFonts w:ascii="Calibri" w:hAnsi="Calibri"/>
                <w:sz w:val="22"/>
              </w:rPr>
              <w:t>$1,372M</w:t>
            </w:r>
          </w:p>
        </w:tc>
        <w:tc>
          <w:tcPr>
            <w:tcW w:type="dxa" w:w="1440"/>
          </w:tcPr>
          <w:p>
            <w:r>
              <w:rPr>
                <w:rFonts w:ascii="Calibri" w:hAnsi="Calibri"/>
                <w:b/>
                <w:color w:val="30A46C"/>
                <w:sz w:val="22"/>
              </w:rPr>
              <w:t>+4.0%</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EPS (Diluted)</w:t>
            </w:r>
          </w:p>
        </w:tc>
        <w:tc>
          <w:tcPr>
            <w:tcW w:type="dxa" w:w="1440"/>
          </w:tcPr>
          <w:p>
            <w:r>
              <w:rPr>
                <w:rFonts w:ascii="Calibri" w:hAnsi="Calibri"/>
                <w:sz w:val="22"/>
              </w:rPr>
              <w:t>$5.25</w:t>
            </w:r>
          </w:p>
        </w:tc>
        <w:tc>
          <w:tcPr>
            <w:tcW w:type="dxa" w:w="1440"/>
          </w:tcPr>
          <w:p>
            <w:r>
              <w:rPr>
                <w:rFonts w:ascii="Calibri" w:hAnsi="Calibri"/>
                <w:sz w:val="22"/>
              </w:rPr>
              <w:t>$1.27</w:t>
            </w:r>
          </w:p>
        </w:tc>
        <w:tc>
          <w:tcPr>
            <w:tcW w:type="dxa" w:w="1440"/>
          </w:tcPr>
          <w:p>
            <w:r>
              <w:rPr>
                <w:rFonts w:ascii="Calibri" w:hAnsi="Calibri"/>
                <w:b/>
                <w:color w:val="30A46C"/>
                <w:sz w:val="22"/>
              </w:rPr>
              <w:t>+313%</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VST has beaten Adjusted EBITDA consensus in 5 of the last 8 quarters, with the misses concentrated in Q2–Q3 2025 when ERCOT weather disappointed. EPS beats/misses are more volatile due to mark-to-market derivative swings. The integrated model’s natural hedge has consistently delivered EBITDA beats even when retail underperforms.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2026 guidance was reaffirmed in full on the Q1 call with no changes; the only post-earnings development of note is the July 14 PJM capacity auction result (10.9 GW at $325/MW-day), which is a positive surprise for the East segment and could prompt a guidance raise on the Q2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EBITDA</w:t>
            </w:r>
          </w:p>
        </w:tc>
        <w:tc>
          <w:tcPr>
            <w:tcW w:type="dxa" w:w="1728"/>
          </w:tcPr>
          <w:p>
            <w:r>
              <w:rPr>
                <w:rFonts w:ascii="Calibri" w:hAnsi="Calibri"/>
                <w:sz w:val="22"/>
              </w:rPr>
              <w:t>Reaffirmed (range introduced Q3 2025 call; midpoint ~$7.4B)</w:t>
            </w:r>
          </w:p>
        </w:tc>
        <w:tc>
          <w:tcPr>
            <w:tcW w:type="dxa" w:w="1728"/>
          </w:tcPr>
          <w:p>
            <w:r>
              <w:rPr>
                <w:rFonts w:ascii="Calibri" w:hAnsi="Calibri"/>
                <w:sz w:val="22"/>
              </w:rPr>
              <w:t>—</w:t>
            </w:r>
          </w:p>
        </w:tc>
        <w:tc>
          <w:tcPr>
            <w:tcW w:type="dxa" w:w="1728"/>
          </w:tcPr>
          <w:p>
            <w:r>
              <w:rPr>
                <w:rFonts w:ascii="Calibri" w:hAnsi="Calibri"/>
                <w:sz w:val="22"/>
              </w:rPr>
              <w:t>$7,385M</w:t>
            </w:r>
          </w:p>
        </w:tc>
        <w:tc>
          <w:tcPr>
            <w:tcW w:type="dxa" w:w="1728"/>
          </w:tcPr>
          <w:p>
            <w:r>
              <w:rPr>
                <w:rFonts w:ascii="Calibri" w:hAnsi="Calibri"/>
                <w:sz w:val="22"/>
              </w:rPr>
              <w:t>Unchanged since Q3 2025 introduction; excludes Cogentrix &amp; Meta PPA uplift</w:t>
            </w:r>
          </w:p>
        </w:tc>
      </w:tr>
      <w:tr>
        <w:tc>
          <w:tcPr>
            <w:tcW w:type="dxa" w:w="1728"/>
          </w:tcPr>
          <w:p>
            <w:r>
              <w:rPr>
                <w:rFonts w:ascii="Calibri" w:hAnsi="Calibri"/>
                <w:sz w:val="22"/>
              </w:rPr>
              <w:t>FY 2026 Adj. FCF Before Growth</w:t>
            </w:r>
          </w:p>
        </w:tc>
        <w:tc>
          <w:tcPr>
            <w:tcW w:type="dxa" w:w="1728"/>
          </w:tcPr>
          <w:p>
            <w:r>
              <w:rPr>
                <w:rFonts w:ascii="Calibri" w:hAnsi="Calibri"/>
                <w:sz w:val="22"/>
              </w:rPr>
              <w:t>Reaffirmed (range introduced Q3 2025 call)</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Management’s primary per-share value metric; no post-earnings revision</w:t>
            </w:r>
          </w:p>
        </w:tc>
      </w:tr>
      <w:tr>
        <w:tc>
          <w:tcPr>
            <w:tcW w:type="dxa" w:w="1728"/>
          </w:tcPr>
          <w:p>
            <w:r>
              <w:rPr>
                <w:rFonts w:ascii="Calibri" w:hAnsi="Calibri"/>
                <w:sz w:val="22"/>
              </w:rPr>
              <w:t>FY 2027 Adj. EBITDA Midpoint Opportunity</w:t>
            </w:r>
          </w:p>
        </w:tc>
        <w:tc>
          <w:tcPr>
            <w:tcW w:type="dxa" w:w="1728"/>
          </w:tcPr>
          <w:p>
            <w:r>
              <w:rPr>
                <w:rFonts w:ascii="Calibri" w:hAnsi="Calibri"/>
                <w:sz w:val="22"/>
              </w:rPr>
              <w:t>Maintained (range introduced Q3 2025 call)</w:t>
            </w:r>
          </w:p>
        </w:tc>
        <w:tc>
          <w:tcPr>
            <w:tcW w:type="dxa" w:w="1728"/>
          </w:tcPr>
          <w:p>
            <w:r>
              <w:rPr>
                <w:rFonts w:ascii="Calibri" w:hAnsi="Calibri"/>
                <w:sz w:val="22"/>
              </w:rPr>
              <w:t>—</w:t>
            </w:r>
          </w:p>
        </w:tc>
        <w:tc>
          <w:tcPr>
            <w:tcW w:type="dxa" w:w="1728"/>
          </w:tcPr>
          <w:p>
            <w:r>
              <w:rPr>
                <w:rFonts w:ascii="Calibri" w:hAnsi="Calibri"/>
                <w:sz w:val="22"/>
              </w:rPr>
              <w:t>$8,320M</w:t>
            </w:r>
          </w:p>
        </w:tc>
        <w:tc>
          <w:tcPr>
            <w:tcW w:type="dxa" w:w="1728"/>
          </w:tcPr>
          <w:p>
            <w:r>
              <w:rPr>
                <w:rFonts w:ascii="Calibri" w:hAnsi="Calibri"/>
                <w:sz w:val="22"/>
              </w:rPr>
              <w:t>Excludes Cogentrix; update expected post-close (H2 2026)</w:t>
            </w:r>
          </w:p>
        </w:tc>
      </w:tr>
      <w:tr>
        <w:tc>
          <w:tcPr>
            <w:tcW w:type="dxa" w:w="1728"/>
          </w:tcPr>
          <w:p>
            <w:r>
              <w:rPr>
                <w:rFonts w:ascii="Calibri" w:hAnsi="Calibri"/>
                <w:sz w:val="22"/>
              </w:rPr>
              <w:t>Cogentrix Acquisition</w:t>
            </w:r>
          </w:p>
        </w:tc>
        <w:tc>
          <w:tcPr>
            <w:tcW w:type="dxa" w:w="1728"/>
          </w:tcPr>
          <w:p>
            <w:r>
              <w:rPr>
                <w:rFonts w:ascii="Calibri" w:hAnsi="Calibri"/>
                <w:sz w:val="22"/>
              </w:rPr>
              <w:t>On track to close H2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Guidance update expected upon close; 5,500 MW natural gas portfolio</w:t>
            </w:r>
          </w:p>
        </w:tc>
      </w:tr>
      <w:tr>
        <w:tc>
          <w:tcPr>
            <w:tcW w:type="dxa" w:w="1728"/>
          </w:tcPr>
          <w:p>
            <w:r>
              <w:rPr>
                <w:rFonts w:ascii="Calibri" w:hAnsi="Calibri"/>
                <w:sz w:val="22"/>
              </w:rPr>
              <w:t>PJM Capacity Revenue (East Segment)</w:t>
            </w:r>
          </w:p>
        </w:tc>
        <w:tc>
          <w:tcPr>
            <w:tcW w:type="dxa" w:w="1728"/>
          </w:tcPr>
          <w:p>
            <w:r>
              <w:rPr>
                <w:rFonts w:ascii="Calibri" w:hAnsi="Calibri"/>
                <w:sz w:val="22"/>
              </w:rPr>
              <w:t>Higher PJM capacity revenues cited as Q1 tailwind</w:t>
            </w:r>
          </w:p>
        </w:tc>
        <w:tc>
          <w:tcPr>
            <w:tcW w:type="dxa" w:w="1728"/>
          </w:tcPr>
          <w:p>
            <w:r>
              <w:rPr>
                <w:rFonts w:ascii="Calibri" w:hAnsi="Calibri"/>
                <w:sz w:val="22"/>
              </w:rPr>
              <w:t>Potential upside: July 14 auction cleared 10.9 GW at $325/MW-day</w:t>
            </w:r>
          </w:p>
        </w:tc>
        <w:tc>
          <w:tcPr>
            <w:tcW w:type="dxa" w:w="1728"/>
          </w:tcPr>
          <w:p>
            <w:r>
              <w:rPr>
                <w:rFonts w:ascii="Calibri" w:hAnsi="Calibri"/>
                <w:sz w:val="22"/>
              </w:rPr>
              <w:t>$402M Q2 consensus; $1,589M FY</w:t>
            </w:r>
          </w:p>
        </w:tc>
        <w:tc>
          <w:tcPr>
            <w:tcW w:type="dxa" w:w="1728"/>
          </w:tcPr>
          <w:p>
            <w:r>
              <w:rPr>
                <w:rFonts w:ascii="Calibri" w:hAnsi="Calibri"/>
                <w:sz w:val="22"/>
              </w:rPr>
              <w:t>↑ Positive surprise from July 14 PJM auction; could lift 2027 capacity revenue guidance</w:t>
            </w:r>
          </w:p>
        </w:tc>
      </w:tr>
      <w:tr>
        <w:tc>
          <w:tcPr>
            <w:tcW w:type="dxa" w:w="1728"/>
          </w:tcPr>
          <w:p>
            <w:r>
              <w:rPr>
                <w:rFonts w:ascii="Calibri" w:hAnsi="Calibri"/>
                <w:sz w:val="22"/>
              </w:rPr>
              <w:t>Capital Return (2026–2027)</w:t>
            </w:r>
          </w:p>
        </w:tc>
        <w:tc>
          <w:tcPr>
            <w:tcW w:type="dxa" w:w="1728"/>
          </w:tcPr>
          <w:p>
            <w:r>
              <w:rPr>
                <w:rFonts w:ascii="Calibri" w:hAnsi="Calibri"/>
                <w:sz w:val="22"/>
              </w:rPr>
              <w:t>~$3B to equity holders via buybacks &amp; dividends; ~$525M deployed in first 4 months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~$1.475B buyback authorization remaining as of Q1 call</w:t>
            </w:r>
          </w:p>
        </w:tc>
      </w:tr>
    </w:tbl>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VST has significantly underperformed both XLU and the S&amp;P 500 since the Q1 print, with the decline driven almost entirely by multiple compression rather than estimate cuts — EV/EBITDA contracted from ~9.5x to ~8.6x over six months — suggesting the stock is pricing in a more cautious view on ERCOT forward curves and AI power demand timing rather than a fundamental deterioration.</w:t>
      </w:r>
    </w:p>
    <w:p>
      <w:r>
        <w:rPr>
          <w:rFonts w:ascii="Calibri" w:hAnsi="Calibri"/>
          <w:b/>
          <w:color w:val="525866"/>
          <w:sz w:val="22"/>
        </w:rPr>
        <w:t>Chart: VST vs. XLU vs. S&amp;P 500 (SPY) — Indexed to 100 at May 7, 2026 (Q1 2026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VST (Indexed)</w:t>
            </w:r>
          </w:p>
        </w:tc>
        <w:tc>
          <w:tcPr>
            <w:tcW w:type="dxa" w:w="2160"/>
            <w:shd w:val="clear" w:color="auto" w:fill="3B4259"/>
          </w:tcPr>
          <w:p>
            <w:r>
              <w:rPr>
                <w:rFonts w:ascii="Calibri" w:hAnsi="Calibri"/>
                <w:b/>
                <w:color w:val="FFFFFF"/>
                <w:sz w:val="22"/>
              </w:rPr>
              <w:t>XLU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7,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22, 2026</w:t>
            </w:r>
          </w:p>
        </w:tc>
        <w:tc>
          <w:tcPr>
            <w:tcW w:type="dxa" w:w="2160"/>
          </w:tcPr>
          <w:p>
            <w:r>
              <w:rPr>
                <w:rFonts w:ascii="Calibri" w:hAnsi="Calibri"/>
                <w:sz w:val="22"/>
              </w:rPr>
              <w:t>101.5</w:t>
            </w:r>
          </w:p>
        </w:tc>
        <w:tc>
          <w:tcPr>
            <w:tcW w:type="dxa" w:w="2160"/>
          </w:tcPr>
          <w:p>
            <w:r>
              <w:rPr>
                <w:rFonts w:ascii="Calibri" w:hAnsi="Calibri"/>
                <w:sz w:val="22"/>
              </w:rPr>
              <w:t>100.5</w:t>
            </w:r>
          </w:p>
        </w:tc>
        <w:tc>
          <w:tcPr>
            <w:tcW w:type="dxa" w:w="2160"/>
          </w:tcPr>
          <w:p>
            <w:r>
              <w:rPr>
                <w:rFonts w:ascii="Calibri" w:hAnsi="Calibri"/>
                <w:sz w:val="22"/>
              </w:rPr>
              <w:t>101.9</w:t>
            </w:r>
          </w:p>
        </w:tc>
      </w:tr>
      <w:tr>
        <w:tc>
          <w:tcPr>
            <w:tcW w:type="dxa" w:w="2160"/>
          </w:tcPr>
          <w:p>
            <w:r>
              <w:rPr>
                <w:rFonts w:ascii="Calibri" w:hAnsi="Calibri"/>
                <w:sz w:val="22"/>
              </w:rPr>
              <w:t>May 26, 2026 (Peak)</w:t>
            </w:r>
          </w:p>
        </w:tc>
        <w:tc>
          <w:tcPr>
            <w:tcW w:type="dxa" w:w="2160"/>
          </w:tcPr>
          <w:p>
            <w:r>
              <w:rPr>
                <w:rFonts w:ascii="Calibri" w:hAnsi="Calibri"/>
                <w:sz w:val="22"/>
              </w:rPr>
              <w:t>106.9</w:t>
            </w:r>
          </w:p>
        </w:tc>
        <w:tc>
          <w:tcPr>
            <w:tcW w:type="dxa" w:w="2160"/>
          </w:tcPr>
          <w:p>
            <w:r>
              <w:rPr>
                <w:rFonts w:ascii="Calibri" w:hAnsi="Calibri"/>
                <w:sz w:val="22"/>
              </w:rPr>
              <w:t>100.5</w:t>
            </w:r>
          </w:p>
        </w:tc>
        <w:tc>
          <w:tcPr>
            <w:tcW w:type="dxa" w:w="2160"/>
          </w:tcPr>
          <w:p>
            <w:r>
              <w:rPr>
                <w:rFonts w:ascii="Calibri" w:hAnsi="Calibri"/>
                <w:sz w:val="22"/>
              </w:rPr>
              <w:t>102.6</w:t>
            </w:r>
          </w:p>
        </w:tc>
      </w:tr>
      <w:tr>
        <w:tc>
          <w:tcPr>
            <w:tcW w:type="dxa" w:w="2160"/>
          </w:tcPr>
          <w:p>
            <w:r>
              <w:rPr>
                <w:rFonts w:ascii="Calibri" w:hAnsi="Calibri"/>
                <w:sz w:val="22"/>
              </w:rPr>
              <w:t>Jun 18, 2026</w:t>
            </w:r>
          </w:p>
        </w:tc>
        <w:tc>
          <w:tcPr>
            <w:tcW w:type="dxa" w:w="2160"/>
          </w:tcPr>
          <w:p>
            <w:r>
              <w:rPr>
                <w:rFonts w:ascii="Calibri" w:hAnsi="Calibri"/>
                <w:sz w:val="22"/>
              </w:rPr>
              <w:t>106.4</w:t>
            </w:r>
          </w:p>
        </w:tc>
        <w:tc>
          <w:tcPr>
            <w:tcW w:type="dxa" w:w="2160"/>
          </w:tcPr>
          <w:p>
            <w:r>
              <w:rPr>
                <w:rFonts w:ascii="Calibri" w:hAnsi="Calibri"/>
                <w:sz w:val="22"/>
              </w:rPr>
              <w:t>99.2</w:t>
            </w:r>
          </w:p>
        </w:tc>
        <w:tc>
          <w:tcPr>
            <w:tcW w:type="dxa" w:w="2160"/>
          </w:tcPr>
          <w:p>
            <w:r>
              <w:rPr>
                <w:rFonts w:ascii="Calibri" w:hAnsi="Calibri"/>
                <w:sz w:val="22"/>
              </w:rPr>
              <w:t>102.1</w:t>
            </w:r>
          </w:p>
        </w:tc>
      </w:tr>
      <w:tr>
        <w:tc>
          <w:tcPr>
            <w:tcW w:type="dxa" w:w="2160"/>
          </w:tcPr>
          <w:p>
            <w:r>
              <w:rPr>
                <w:rFonts w:ascii="Calibri" w:hAnsi="Calibri"/>
                <w:sz w:val="22"/>
              </w:rPr>
              <w:t>Jun 25, 2026</w:t>
            </w:r>
          </w:p>
        </w:tc>
        <w:tc>
          <w:tcPr>
            <w:tcW w:type="dxa" w:w="2160"/>
          </w:tcPr>
          <w:p>
            <w:r>
              <w:rPr>
                <w:rFonts w:ascii="Calibri" w:hAnsi="Calibri"/>
                <w:sz w:val="22"/>
              </w:rPr>
              <w:t>109.0</w:t>
            </w:r>
          </w:p>
        </w:tc>
        <w:tc>
          <w:tcPr>
            <w:tcW w:type="dxa" w:w="2160"/>
          </w:tcPr>
          <w:p>
            <w:r>
              <w:rPr>
                <w:rFonts w:ascii="Calibri" w:hAnsi="Calibri"/>
                <w:sz w:val="22"/>
              </w:rPr>
              <w:t>101.6</w:t>
            </w:r>
          </w:p>
        </w:tc>
        <w:tc>
          <w:tcPr>
            <w:tcW w:type="dxa" w:w="2160"/>
          </w:tcPr>
          <w:p>
            <w:r>
              <w:rPr>
                <w:rFonts w:ascii="Calibri" w:hAnsi="Calibri"/>
                <w:sz w:val="22"/>
              </w:rPr>
              <w:t>100.4</w:t>
            </w:r>
          </w:p>
        </w:tc>
      </w:tr>
      <w:tr>
        <w:tc>
          <w:tcPr>
            <w:tcW w:type="dxa" w:w="2160"/>
          </w:tcPr>
          <w:p>
            <w:r>
              <w:rPr>
                <w:rFonts w:ascii="Calibri" w:hAnsi="Calibri"/>
                <w:sz w:val="22"/>
              </w:rPr>
              <w:t>Jul 14, 2026 (PJM Auction)</w:t>
            </w:r>
          </w:p>
        </w:tc>
        <w:tc>
          <w:tcPr>
            <w:tcW w:type="dxa" w:w="2160"/>
          </w:tcPr>
          <w:p>
            <w:r>
              <w:rPr>
                <w:rFonts w:ascii="Calibri" w:hAnsi="Calibri"/>
                <w:sz w:val="22"/>
              </w:rPr>
              <w:t>102.9</w:t>
            </w:r>
          </w:p>
        </w:tc>
        <w:tc>
          <w:tcPr>
            <w:tcW w:type="dxa" w:w="2160"/>
          </w:tcPr>
          <w:p>
            <w:r>
              <w:rPr>
                <w:rFonts w:ascii="Calibri" w:hAnsi="Calibri"/>
                <w:sz w:val="22"/>
              </w:rPr>
              <w:t>101.3</w:t>
            </w:r>
          </w:p>
        </w:tc>
        <w:tc>
          <w:tcPr>
            <w:tcW w:type="dxa" w:w="2160"/>
          </w:tcPr>
          <w:p>
            <w:r>
              <w:rPr>
                <w:rFonts w:ascii="Calibri" w:hAnsi="Calibri"/>
                <w:sz w:val="22"/>
              </w:rPr>
              <w:t>102.8</w:t>
            </w:r>
          </w:p>
        </w:tc>
      </w:tr>
      <w:tr>
        <w:tc>
          <w:tcPr>
            <w:tcW w:type="dxa" w:w="2160"/>
          </w:tcPr>
          <w:p>
            <w:r>
              <w:rPr>
                <w:rFonts w:ascii="Calibri" w:hAnsi="Calibri"/>
                <w:sz w:val="22"/>
              </w:rPr>
              <w:t>Jul 23, 2026</w:t>
            </w:r>
          </w:p>
        </w:tc>
        <w:tc>
          <w:tcPr>
            <w:tcW w:type="dxa" w:w="2160"/>
          </w:tcPr>
          <w:p>
            <w:r>
              <w:rPr>
                <w:rFonts w:ascii="Calibri" w:hAnsi="Calibri"/>
                <w:sz w:val="22"/>
              </w:rPr>
              <w:t>109.8</w:t>
            </w:r>
          </w:p>
        </w:tc>
        <w:tc>
          <w:tcPr>
            <w:tcW w:type="dxa" w:w="2160"/>
          </w:tcPr>
          <w:p>
            <w:r>
              <w:rPr>
                <w:rFonts w:ascii="Calibri" w:hAnsi="Calibri"/>
                <w:sz w:val="22"/>
              </w:rPr>
              <w:t>102.4</w:t>
            </w:r>
          </w:p>
        </w:tc>
        <w:tc>
          <w:tcPr>
            <w:tcW w:type="dxa" w:w="2160"/>
          </w:tcPr>
          <w:p>
            <w:r>
              <w:rPr>
                <w:rFonts w:ascii="Calibri" w:hAnsi="Calibri"/>
                <w:sz w:val="22"/>
              </w:rPr>
              <w:t>100.9</w:t>
            </w:r>
          </w:p>
        </w:tc>
      </w:tr>
      <w:tr>
        <w:tc>
          <w:tcPr>
            <w:tcW w:type="dxa" w:w="2160"/>
          </w:tcPr>
          <w:p>
            <w:r>
              <w:rPr>
                <w:rFonts w:ascii="Calibri" w:hAnsi="Calibri"/>
                <w:sz w:val="22"/>
              </w:rPr>
              <w:t>Aug 5, 2026 (Latest)</w:t>
            </w:r>
          </w:p>
        </w:tc>
        <w:tc>
          <w:tcPr>
            <w:tcW w:type="dxa" w:w="2160"/>
          </w:tcPr>
          <w:p>
            <w:r>
              <w:rPr>
                <w:rFonts w:ascii="Calibri" w:hAnsi="Calibri"/>
                <w:sz w:val="22"/>
              </w:rPr>
              <w:t>91.3</w:t>
            </w:r>
          </w:p>
        </w:tc>
        <w:tc>
          <w:tcPr>
            <w:tcW w:type="dxa" w:w="2160"/>
          </w:tcPr>
          <w:p>
            <w:r>
              <w:rPr>
                <w:rFonts w:ascii="Calibri" w:hAnsi="Calibri"/>
                <w:sz w:val="22"/>
              </w:rPr>
              <w:t>96.8</w:t>
            </w:r>
          </w:p>
        </w:tc>
        <w:tc>
          <w:tcPr>
            <w:tcW w:type="dxa" w:w="2160"/>
          </w:tcPr>
          <w:p>
            <w:r>
              <w:rPr>
                <w:rFonts w:ascii="Calibri" w:hAnsi="Calibri"/>
                <w:sz w:val="22"/>
              </w:rPr>
              <w:t>105.2</w:t>
            </w:r>
          </w:p>
        </w:tc>
      </w:tr>
    </w:tbl>
    <w:p>
      <w:r>
        <w:rPr>
          <w:rFonts w:ascii="Calibri" w:hAnsi="Calibri"/>
          <w:i/>
          <w:color w:val="525866"/>
          <w:sz w:val="22"/>
        </w:rPr>
        <w:t>Source: Yahoo Finance / Stock Price Data. Sector ETF: XLU (Utilities Select Sector SPDR Fund) — appropriate for VST’s integrated power generation and retail sub-sector. Key events marked: July 14, 2026 — Vistra clears 10.9 GW in PJM capacity auction at $325/MW-day (8-K). June 30, 2026 — Vistra boosts revolving credit facility to $5.5B (8-K). July 16, 2026 — Vistra amends/extends $1.25B receivables securitization facility (8-K).</w:t>
      </w:r>
    </w:p>
    <w:p>
      <w:r>
        <w:rPr>
          <w:rFonts w:ascii="Calibri" w:hAnsi="Calibri"/>
          <w:b/>
          <w:color w:val="525866"/>
          <w:sz w:val="22"/>
        </w:rPr>
        <w:t xml:space="preserve">Performance Summary (May 7 – Aug 5, 2026): </w:t>
      </w:r>
      <w:r>
        <w:rPr>
          <w:rFonts w:ascii="Calibri" w:hAnsi="Calibri"/>
          <w:color w:val="525866"/>
          <w:sz w:val="22"/>
        </w:rPr>
        <w:t>VST: -8.7% | XLU: -3.2% | SPY: +5.2%. VST outperformed through late June (peaking ~+9% indexed) on momentum from the Q1 beat and nuclear contracting optimism, then reversed sharply in late July as ERCOT forward curves remained soft and broader market rotation away from high-multiple utilities accelerated. The stock’s 12-month EV/EBITDA multiple has compressed from ~13.9x to ~8.6x, with the majority of the 12-month price decline (-32.5%) attributable to multiple contraction (-38%) rather than estimate cuts, suggesting sentiment rather than fundamentals is the primary headwind.</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July 14 PJM capacity auction result — 10.9 GW cleared at $325/MW-day — is the single most important post-Q1 development for VST, directly boosting East segment capacity revenue visibility for 2027 and validating the scarcity value of Vistra’s dispatchable and nuclear assets.</w:t>
      </w:r>
    </w:p>
    <w:p>
      <w:pPr>
        <w:pStyle w:val="ListBullet"/>
        <w:ind w:left="360" w:hanging="360"/>
      </w:pPr>
      <w:r>
        <w:rPr>
          <w:rFonts w:ascii="Calibri" w:hAnsi="Calibri"/>
          <w:b/>
          <w:color w:val="525866"/>
          <w:sz w:val="22"/>
        </w:rPr>
        <w:t>July 14, 2026 — Vistra Clears 10.9 GW in PJM Capacity Auction at $325/MW-Day (8-K).</w:t>
      </w:r>
      <w:r>
        <w:rPr>
          <w:rFonts w:ascii="Calibri" w:hAnsi="Calibri"/>
          <w:color w:val="525866"/>
          <w:sz w:val="22"/>
        </w:rPr>
        <w:t xml:space="preserve"> Vistra cleared 10.9 gigawatts of capacity in the PJM Base Residual Auction at $325/MW-day. This is a significant positive for the East segment, directly increasing 2027 capacity revenue visibility and validating the scarcity value of Vistra’s nuclear and dispatchable gas fleet in PJM. The result was above prior auction clearing prices and could prompt a 2027 guidance raise on the Q2 call. Source: VST 8-K, July 14, 2026.</w:t>
      </w:r>
    </w:p>
    <w:p>
      <w:pPr>
        <w:pStyle w:val="ListBullet"/>
        <w:ind w:left="360" w:hanging="360"/>
      </w:pPr>
      <w:r>
        <w:rPr>
          <w:rFonts w:ascii="Calibri" w:hAnsi="Calibri"/>
          <w:b/>
          <w:color w:val="525866"/>
          <w:sz w:val="22"/>
        </w:rPr>
        <w:t>July 16, 2026 — Vistra Amends and Extends $1.25 Billion Receivables Securitization Facility (8-K).</w:t>
      </w:r>
      <w:r>
        <w:rPr>
          <w:rFonts w:ascii="Calibri" w:hAnsi="Calibri"/>
          <w:color w:val="525866"/>
          <w:sz w:val="22"/>
        </w:rPr>
        <w:t xml:space="preserve"> Vistra subsidiaries amended and extended their receivables securitization facility, enhancing liquidity and financial flexibility. Positive for balance sheet management and consistent with the investment-grade credit profile achieved in 2026. Source: VST 8-K, July 16, 2026.</w:t>
      </w:r>
    </w:p>
    <w:p>
      <w:pPr>
        <w:pStyle w:val="ListBullet"/>
        <w:ind w:left="360" w:hanging="360"/>
      </w:pPr>
      <w:r>
        <w:rPr>
          <w:rFonts w:ascii="Calibri" w:hAnsi="Calibri"/>
          <w:b/>
          <w:color w:val="525866"/>
          <w:sz w:val="22"/>
        </w:rPr>
        <w:t>June 30, 2026 — Vistra Operations Boosts Revolving Credit Facility to $5.5 Billion (8-K).</w:t>
      </w:r>
      <w:r>
        <w:rPr>
          <w:rFonts w:ascii="Calibri" w:hAnsi="Calibri"/>
          <w:color w:val="525866"/>
          <w:sz w:val="22"/>
        </w:rPr>
        <w:t xml:space="preserve"> Vistra expanded its revolving credit facility from a prior level to $5.5 billion, providing additional liquidity headroom for the Cogentrix acquisition close and ongoing capital allocation. Demonstrates continued access to capital markets at investment-grade terms. Source: VST 8-K, June 30, 2026.</w:t>
      </w:r>
    </w:p>
    <w:p>
      <w:pPr>
        <w:pStyle w:val="ListBullet"/>
        <w:ind w:left="360" w:hanging="360"/>
      </w:pPr>
      <w:r>
        <w:rPr>
          <w:rFonts w:ascii="Calibri" w:hAnsi="Calibri"/>
          <w:b/>
          <w:color w:val="525866"/>
          <w:sz w:val="22"/>
        </w:rPr>
        <w:t>May 7, 2026 — Q1 2026 Earnings: Record First-Quarter Adjusted EBITDA of $1.494B (Press Release / Earnings Call).</w:t>
      </w:r>
      <w:r>
        <w:rPr>
          <w:rFonts w:ascii="Calibri" w:hAnsi="Calibri"/>
          <w:color w:val="525866"/>
          <w:sz w:val="22"/>
        </w:rPr>
        <w:t xml:space="preserve"> Vistra reported record Q1 adjusted EBITDA of $1.494B (+20% YoY, +85% vs. Q1 2024), driven by strong generation performance during Winter Storm Fern and higher PJM capacity revenues. 2026 guidance reaffirmed in full. Fitch investment-grade upgrade (BBB-) received during the quarter. Management pushed back against any suggestion of customer pause in data center contracting discussions. Source: VST Q1 2026 Earnings Release and Transcript.</w:t>
      </w:r>
    </w:p>
    <w:p>
      <w:pPr>
        <w:pStyle w:val="ListBullet"/>
        <w:ind w:left="360" w:hanging="360"/>
      </w:pPr>
      <w:r>
        <w:rPr>
          <w:rFonts w:ascii="Calibri" w:hAnsi="Calibri"/>
          <w:b/>
          <w:color w:val="525866"/>
          <w:sz w:val="22"/>
        </w:rPr>
        <w:t>August 6, 2026 — Constellation Energy (CEG) Reports Q2 2026 Results; Raises Full-Year Guidance (8-K / Earnings Call).</w:t>
      </w:r>
      <w:r>
        <w:rPr>
          <w:rFonts w:ascii="Calibri" w:hAnsi="Calibri"/>
          <w:color w:val="525866"/>
          <w:sz w:val="22"/>
        </w:rPr>
        <w:t xml:space="preserve"> CEG raised its FY 2026 adjusted operating EPS guidance to $11.50–$12.50 (from $11–$12), signed ~920 MW of new long-term nuclear deals at 18.5-year average duration, and noted PJM regulatory clarity is accelerating. Read-through: positive for VST’s nuclear contracting pipeline and PJM market structure. Source: CEG Q2 2026 Earnings Call Transcript.</w:t>
      </w:r>
    </w:p>
    <w:p>
      <w:pPr>
        <w:pStyle w:val="ListBullet"/>
        <w:ind w:left="360" w:hanging="360"/>
      </w:pPr>
      <w:r>
        <w:rPr>
          <w:rFonts w:ascii="Calibri" w:hAnsi="Calibri"/>
          <w:b/>
          <w:color w:val="525866"/>
          <w:sz w:val="22"/>
        </w:rPr>
        <w:t>August 5, 2026 — Talen Energy (TLN) Reports Q2 2026 Results; Raises 2026 Guidance (8-K / Earnings Call).</w:t>
      </w:r>
      <w:r>
        <w:rPr>
          <w:rFonts w:ascii="Calibri" w:hAnsi="Calibri"/>
          <w:color w:val="525866"/>
          <w:sz w:val="22"/>
        </w:rPr>
        <w:t xml:space="preserve"> TLN raised 2026 adjusted EBITDA guidance to $2.025–$2.225B and noted PJM West Hub sparks up ~50% YoY. Observed renewed interest in long-term CNI contracts and hyperscalers focused on 2027–2028 contracting windows. Read-through: constructive for VST’s PJM East segment and nuclear contracting pipeline. Source: TLN Q2 2026 Earnings Call Transcript.</w:t>
      </w:r>
    </w:p>
    <w:p>
      <w:pPr>
        <w:pStyle w:val="ListBullet"/>
        <w:ind w:left="360" w:hanging="360"/>
      </w:pPr>
      <w:r>
        <w:rPr>
          <w:rFonts w:ascii="Calibri" w:hAnsi="Calibri"/>
          <w:b/>
          <w:color w:val="525866"/>
          <w:sz w:val="22"/>
        </w:rPr>
        <w:t>August 4, 2026 — NRG Energy (NRG) Reports Q2 2026 Results; Announces 1.2 GW Texas Data Center BYOP Project (8-K / Earnings Call).</w:t>
      </w:r>
      <w:r>
        <w:rPr>
          <w:rFonts w:ascii="Calibri" w:hAnsi="Calibri"/>
          <w:color w:val="525866"/>
          <w:sz w:val="22"/>
        </w:rPr>
        <w:t xml:space="preserve"> NRG announced a 1.2 GW ‘Bring Your Own Power’ project in Texas with a leading hyperscaler, targeting late 2029 commercial operations and $500M+ annual EBITDA at full run rate. NRG noted ERCOT prices are “low out the curve” but expects market tightening post-2027 as battery/solar subsidies expire. Read-through: mixed for VST — new ERCOT supply is a headwind, but market tightening thesis is consistent with VST’s own messaging. Source: NRG Q2 2026 Earnings Call Transcript.</w:t>
      </w:r>
    </w:p>
    <w:p>
      <w:pPr>
        <w:pStyle w:val="ListBullet"/>
        <w:ind w:left="360" w:hanging="360"/>
      </w:pPr>
      <w:r>
        <w:rPr>
          <w:rFonts w:ascii="Calibri" w:hAnsi="Calibri"/>
          <w:b/>
          <w:color w:val="525866"/>
          <w:sz w:val="22"/>
        </w:rPr>
        <w:t>July 31, 2026 — Dominion Energy (D) Reports Q2 2026 Beat; Virginia Data Center Demand Surpasses 53.8 GW (Press Release).</w:t>
      </w:r>
      <w:r>
        <w:rPr>
          <w:rFonts w:ascii="Calibri" w:hAnsi="Calibri"/>
          <w:color w:val="525866"/>
          <w:sz w:val="22"/>
        </w:rPr>
        <w:t xml:space="preserve"> Dominion reported adjusted EPS of $0.79 vs. $0.68 consensus, with Virginia data center contracted capacity reaching 53.8 GW as of July (up 5.3 GW from December). Read-through: validates the structural AI-driven power demand thesis that underpins VST’s nuclear and gas contracting strategy. Source: Dominion Q2 2026 Earnings Release.</w:t>
      </w:r>
    </w:p>
    <w:p>
      <w:pPr>
        <w:pStyle w:val="ListBullet"/>
        <w:ind w:left="360" w:hanging="360"/>
      </w:pPr>
      <w:r>
        <w:rPr>
          <w:rFonts w:ascii="Calibri" w:hAnsi="Calibri"/>
          <w:b/>
          <w:color w:val="525866"/>
          <w:sz w:val="22"/>
        </w:rPr>
        <w:t>July 30, 2026 — Quanta Services (PWR) Reports Q2 2026 Beat; Raises Full-Year EBITDA Guidance to $4.09–$4.21B (8-K / Earnings Release).</w:t>
      </w:r>
      <w:r>
        <w:rPr>
          <w:rFonts w:ascii="Calibri" w:hAnsi="Calibri"/>
          <w:color w:val="525866"/>
          <w:sz w:val="22"/>
        </w:rPr>
        <w:t xml:space="preserve"> PWR reported Q2 EPS of $4.24 vs. $3.24 consensus and raised FY EBITDA guidance by ~18% at the midpoint, citing accelerating grid investment driven by data centers, electrification, and grid modernization. Backlog reached a record $53.4B. Read-through: positive for VST as grid infrastructure investment accelerates, supporting the demand thesis for power generation assets. Source: PWR Q2 2026 Earnings Release.</w:t>
      </w:r>
    </w:p>
    <w:p>
      <w:r>
        <w:br w:type="page"/>
      </w:r>
    </w:p>
    <w:p>
      <w:pPr>
        <w:pStyle w:val="Heading2"/>
      </w:pPr>
      <w:r>
        <w:rPr>
          <w:rFonts w:ascii="Calibri" w:hAnsi="Calibri"/>
          <w:b/>
          <w:color w:val="3B4259"/>
          <w:sz w:val="28"/>
        </w:rPr>
        <w:t>7. Peer Commentary &amp; Current-Quarter Read-Throughs</w:t>
      </w:r>
    </w:p>
    <w:p>
      <w:r>
        <w:rPr>
          <w:rFonts w:ascii="Calibri" w:hAnsi="Calibri"/>
          <w:b/>
          <w:color w:val="525866"/>
          <w:sz w:val="22"/>
        </w:rPr>
        <w:t xml:space="preserve">Key Takeaway: </w:t>
      </w:r>
      <w:r>
        <w:rPr>
          <w:rFonts w:ascii="Calibri" w:hAnsi="Calibri"/>
          <w:color w:val="525866"/>
          <w:sz w:val="22"/>
        </w:rPr>
        <w:t>Peer Q2 2026 earnings calls (CEG, TLN, NRG — all reported August 4–6, 2026) collectively paint a constructive picture for VST’s Q2 print: PJM fundamentals are strengthening materially, nuclear contracting demand is robust, and the ERCOT softness narrative is well-understood and expected to resolve post-2027. Only NRG’s new ERCOT supply announcement is a modest headwind.</w:t>
      </w:r>
    </w:p>
    <w:p>
      <w:r>
        <w:rPr>
          <w:rFonts w:ascii="Calibri" w:hAnsi="Calibri"/>
          <w:b/>
          <w:color w:val="525866"/>
          <w:sz w:val="22"/>
        </w:rPr>
        <w:t xml:space="preserve">Note: </w:t>
      </w:r>
      <w:r>
        <w:rPr>
          <w:rFonts w:ascii="Calibri" w:hAnsi="Calibri"/>
          <w:i/>
          <w:color w:val="525866"/>
          <w:sz w:val="22"/>
        </w:rPr>
        <w:t>All commentary below is sourced exclusively from Q2 2026 earnings calls and releases (reported August 4–6, 2026) or other post-May 7, 2026 events that speak to the current quarter or forward outlook. No prior-quarter result commentary is included.</w:t>
      </w:r>
    </w:p>
    <w:p>
      <w:pPr>
        <w:pStyle w:val="Heading3"/>
      </w:pPr>
      <w:r>
        <w:rPr>
          <w:rFonts w:ascii="Calibri" w:hAnsi="Calibri"/>
          <w:b/>
          <w:color w:val="3B4259"/>
          <w:sz w:val="24"/>
        </w:rPr>
        <w:t>Constellation Energy (CEG) — Q2 2026 Earnings Call, August 6, 2026</w:t>
      </w:r>
    </w:p>
    <w:p>
      <w:r>
        <w:rPr>
          <w:rFonts w:ascii="Calibri" w:hAnsi="Calibri"/>
          <w:b/>
          <w:color w:val="525866"/>
          <w:sz w:val="22"/>
        </w:rPr>
        <w:t xml:space="preserve">VST Read-Through: </w:t>
      </w:r>
      <w:r>
        <w:rPr>
          <w:rFonts w:ascii="Calibri" w:hAnsi="Calibri"/>
          <w:color w:val="525866"/>
          <w:sz w:val="22"/>
        </w:rPr>
        <w:t>Strongly positive for nuclear contracting pipeline and PJM market structure.</w:t>
      </w:r>
    </w:p>
    <w:p>
      <w:pPr>
        <w:pStyle w:val="ListBullet"/>
        <w:ind w:left="360" w:hanging="360"/>
      </w:pPr>
      <w:r>
        <w:rPr>
          <w:rFonts w:ascii="Calibri" w:hAnsi="Calibri"/>
          <w:b/>
          <w:color w:val="525866"/>
          <w:sz w:val="22"/>
        </w:rPr>
        <w:t>Guidance Raise — Positive Signal for Sector Earnings Power.</w:t>
      </w:r>
      <w:r>
        <w:rPr>
          <w:rFonts w:ascii="Calibri" w:hAnsi="Calibri"/>
          <w:color w:val="525866"/>
          <w:sz w:val="22"/>
        </w:rPr>
        <w:t xml:space="preserve"> CEG raised its FY 2026 adjusted operating EPS guidance range to $11.50–$12.50 per share (from $11–$12), with the CEO noting “our midpoint is now what used to be the top end of the guide, and we still have many opportunities to deliver more value this year.” This is a direct positive read-through for VST, suggesting the nuclear and integrated power generation sector is tracking ahead of expectations.</w:t>
      </w:r>
    </w:p>
    <w:p>
      <w:pPr>
        <w:pStyle w:val="ListBullet"/>
        <w:ind w:left="360" w:hanging="360"/>
      </w:pPr>
      <w:r>
        <w:rPr>
          <w:rFonts w:ascii="Calibri" w:hAnsi="Calibri"/>
          <w:b/>
          <w:color w:val="525866"/>
          <w:sz w:val="22"/>
        </w:rPr>
        <w:t>920 MW of New Long-Term Nuclear Deals Signed Since Q1 Call.</w:t>
      </w:r>
      <w:r>
        <w:rPr>
          <w:rFonts w:ascii="Calibri" w:hAnsi="Calibri"/>
          <w:color w:val="525866"/>
          <w:sz w:val="22"/>
        </w:rPr>
        <w:t xml:space="preserve"> CEG signed approximately 920 MW of long-term nuclear deals since the last earnings call, with an average duration of 18.5 years and investment-grade counterparties. Roughly 30% of CEG’s clean baseload output is now contracted under long-term agreements. VST has ~3.2 GW of uncontracted nuclear capacity at Beaver Valley and Comanche Peak — CEG’s success in signing deals at premium pricing validates the demand and pricing environment for VST’s own contracting pipeline.</w:t>
      </w:r>
    </w:p>
    <w:p>
      <w:pPr>
        <w:pStyle w:val="ListBullet"/>
        <w:ind w:left="360" w:hanging="360"/>
      </w:pPr>
      <w:r>
        <w:rPr>
          <w:rFonts w:ascii="Calibri" w:hAnsi="Calibri"/>
          <w:b/>
          <w:color w:val="525866"/>
          <w:sz w:val="22"/>
        </w:rPr>
        <w:t>PJM Regulatory Clarity Accelerating — Co-location Rules Expected Q1/Q2 2027.</w:t>
      </w:r>
      <w:r>
        <w:rPr>
          <w:rFonts w:ascii="Calibri" w:hAnsi="Calibri"/>
          <w:color w:val="525866"/>
          <w:sz w:val="22"/>
        </w:rPr>
        <w:t xml:space="preserve"> CEG management stated: “we think that we’re going to see regulatory clarity in the first or second quarter of 2027 in terms of co-location, far ahead of where PJM might have been before, where they were targeting 2029.” PJM released proposals for the Reliability Backstop Procurement (RBP) targeting 6.8 GW, with the procurement auction proposed for fall 2026 and results by year-end. This accelerated timeline is a positive for VST’s bilateral contracting discussions, which management noted are proceeding in parallel with rule-making.</w:t>
      </w:r>
    </w:p>
    <w:p>
      <w:pPr>
        <w:pStyle w:val="ListBullet"/>
        <w:ind w:left="360" w:hanging="360"/>
      </w:pPr>
      <w:r>
        <w:rPr>
          <w:rFonts w:ascii="Calibri" w:hAnsi="Calibri"/>
          <w:b/>
          <w:color w:val="525866"/>
          <w:sz w:val="22"/>
        </w:rPr>
        <w:t>ERCOT Market Expected to Tighten as Data Centers Come Online.</w:t>
      </w:r>
      <w:r>
        <w:rPr>
          <w:rFonts w:ascii="Calibri" w:hAnsi="Calibri"/>
          <w:color w:val="525866"/>
          <w:sz w:val="22"/>
        </w:rPr>
        <w:t xml:space="preserve"> CEG stated: “I think the market will start to tighten up as the data centers get built, and you start to see the market come into more or less equilibrium.” CEG noted the current ERCOT softness was “completely expected” and that the company had positioned itself accordingly. This is consistent with VST’s own messaging and validates the medium-term ERCOT thesis.</w:t>
      </w:r>
    </w:p>
    <w:p>
      <w:pPr>
        <w:pStyle w:val="ListBullet"/>
        <w:ind w:left="360" w:hanging="360"/>
      </w:pPr>
      <w:r>
        <w:rPr>
          <w:rFonts w:ascii="Calibri" w:hAnsi="Calibri"/>
          <w:b/>
          <w:color w:val="525866"/>
          <w:sz w:val="22"/>
        </w:rPr>
        <w:t>Brazos Valley Gas Asset Sale at $1,420/kW in ‘Soft ERCOT Market’ — Validates Gas Fleet Value.</w:t>
      </w:r>
      <w:r>
        <w:rPr>
          <w:rFonts w:ascii="Calibri" w:hAnsi="Calibri"/>
          <w:color w:val="525866"/>
          <w:sz w:val="22"/>
        </w:rPr>
        <w:t xml:space="preserve"> CEG announced the sale of the Brazos Valley Energy Center to LS Power for $860M (~$1,420/kW), noting that “smart private equity buyers with long track records in competitive power markets are willing to pay over $1,400/kW for Texas assets in a soft ERCOT market.” This is a direct positive read-through for the valuation of VST’s extensive ERCOT gas fleet.</w:t>
      </w:r>
    </w:p>
    <w:p>
      <w:pPr>
        <w:pStyle w:val="ListBullet"/>
        <w:ind w:left="360" w:hanging="360"/>
      </w:pPr>
      <w:r>
        <w:rPr>
          <w:rFonts w:ascii="Calibri" w:hAnsi="Calibri"/>
          <w:b/>
          <w:color w:val="525866"/>
          <w:sz w:val="22"/>
        </w:rPr>
        <w:t>Nuclear PTC Strike Price Increasing — Positive for VST’s Comanche Peak.</w:t>
      </w:r>
      <w:r>
        <w:rPr>
          <w:rFonts w:ascii="Calibri" w:hAnsi="Calibri"/>
          <w:color w:val="525866"/>
          <w:sz w:val="22"/>
        </w:rPr>
        <w:t xml:space="preserve"> CEG noted the projected 2030 Nuclear PTC strike price will increase from $49.88 to $50.88/MWh following the IRS’s 2025 inflation adjustment, adding ~$0.30/share to 2030 base earnings. VST’s Comanche Peak nuclear plant benefits from the same PTC structure, representing incremental upside to VST’s nuclear earnings.</w:t>
      </w:r>
    </w:p>
    <w:p>
      <w:pPr>
        <w:pStyle w:val="Heading3"/>
      </w:pPr>
      <w:r>
        <w:rPr>
          <w:rFonts w:ascii="Calibri" w:hAnsi="Calibri"/>
          <w:b/>
          <w:color w:val="3B4259"/>
          <w:sz w:val="24"/>
        </w:rPr>
        <w:t>Talen Energy (TLN) — Q2 2026 Earnings Call, August 5, 2026</w:t>
      </w:r>
    </w:p>
    <w:p>
      <w:r>
        <w:rPr>
          <w:rFonts w:ascii="Calibri" w:hAnsi="Calibri"/>
          <w:b/>
          <w:color w:val="525866"/>
          <w:sz w:val="22"/>
        </w:rPr>
        <w:t xml:space="preserve">VST Read-Through: </w:t>
      </w:r>
      <w:r>
        <w:rPr>
          <w:rFonts w:ascii="Calibri" w:hAnsi="Calibri"/>
          <w:color w:val="525866"/>
          <w:sz w:val="22"/>
        </w:rPr>
        <w:t>Strongly positive for PJM East segment and nuclear/gas fleet valuation.</w:t>
      </w:r>
    </w:p>
    <w:p>
      <w:pPr>
        <w:pStyle w:val="ListBullet"/>
        <w:ind w:left="360" w:hanging="360"/>
      </w:pPr>
      <w:r>
        <w:rPr>
          <w:rFonts w:ascii="Calibri" w:hAnsi="Calibri"/>
          <w:b/>
          <w:color w:val="525866"/>
          <w:sz w:val="22"/>
        </w:rPr>
        <w:t>PJM West Hub Sparks Up ~50% YoY — Strongest Fundamental Signal for VST’s East Segment.</w:t>
      </w:r>
      <w:r>
        <w:rPr>
          <w:rFonts w:ascii="Calibri" w:hAnsi="Calibri"/>
          <w:color w:val="525866"/>
          <w:sz w:val="22"/>
        </w:rPr>
        <w:t xml:space="preserve"> TLN stated: “PJM fundamentals continue to strengthen, and we have seen a nearly 50% increase in West Hub sparks since last year.” Forward wholesale prices for capacity and energy are now “approaching or exceeding the $80/MWh range” previously seen in long-term PPA discussions with hyperscalers. This is the most direct positive read-through for VST’s East segment EBITDA, which benefits from higher PJM spark spreads and capacity prices.</w:t>
      </w:r>
    </w:p>
    <w:p>
      <w:pPr>
        <w:pStyle w:val="ListBullet"/>
        <w:ind w:left="360" w:hanging="360"/>
      </w:pPr>
      <w:r>
        <w:rPr>
          <w:rFonts w:ascii="Calibri" w:hAnsi="Calibri"/>
          <w:b/>
          <w:color w:val="525866"/>
          <w:sz w:val="22"/>
        </w:rPr>
        <w:t>PJM Capacity Auctions Clearing at Price Cap; Uncapped Prices &gt;$500/MW-Day.</w:t>
      </w:r>
      <w:r>
        <w:rPr>
          <w:rFonts w:ascii="Calibri" w:hAnsi="Calibri"/>
          <w:color w:val="525866"/>
          <w:sz w:val="22"/>
        </w:rPr>
        <w:t xml:space="preserve"> TLN noted: “the last three base residual capacity auctions clearing at the price cap and uncapped prices that would have settled in excess of $500 a megawatt day.” Broker quotes for capacity in the bilateral market are in the “mid to upper 200s” for post-capped auction years, with bids at the cap level for the early 2030s. This validates VST’s July 14 PJM auction result ($325/MW-day for 10.9 GW) and suggests further upside in future auctions.</w:t>
      </w:r>
    </w:p>
    <w:p>
      <w:pPr>
        <w:pStyle w:val="ListBullet"/>
        <w:ind w:left="360" w:hanging="360"/>
      </w:pPr>
      <w:r>
        <w:rPr>
          <w:rFonts w:ascii="Calibri" w:hAnsi="Calibri"/>
          <w:b/>
          <w:color w:val="525866"/>
          <w:sz w:val="22"/>
        </w:rPr>
        <w:t>PJM Demand Forecasted to Grow &gt;17% Through End of Decade.</w:t>
      </w:r>
      <w:r>
        <w:rPr>
          <w:rFonts w:ascii="Calibri" w:hAnsi="Calibri"/>
          <w:color w:val="525866"/>
          <w:sz w:val="22"/>
        </w:rPr>
        <w:t xml:space="preserve"> TLN cited PJM demand growth forecasts of “over 17% through the end of the decade,” with total U.S. power demand forecasted to grow “over 20%.” TLN noted that “70% of the ten highest peak load days have occurred over the last 15 months,” with five of these peak load days occurring in July 2026 alone. This structural demand growth directly supports higher utilization and pricing for VST’s PJM generation fleet.</w:t>
      </w:r>
    </w:p>
    <w:p>
      <w:pPr>
        <w:pStyle w:val="ListBullet"/>
        <w:ind w:left="360" w:hanging="360"/>
      </w:pPr>
      <w:r>
        <w:rPr>
          <w:rFonts w:ascii="Calibri" w:hAnsi="Calibri"/>
          <w:b/>
          <w:color w:val="525866"/>
          <w:sz w:val="22"/>
        </w:rPr>
        <w:t>Renewed Interest in Long-Term CNI Contracts; Hyperscalers Focused on 2027–2028.</w:t>
      </w:r>
      <w:r>
        <w:rPr>
          <w:rFonts w:ascii="Calibri" w:hAnsi="Calibri"/>
          <w:color w:val="525866"/>
          <w:sz w:val="22"/>
        </w:rPr>
        <w:t xml:space="preserve"> TLN observed that “long-term forwards have finally caught a bid” and that the company is seeing “renewed interest in long-term contracts in the CNI space.” Hyperscalers are currently focused on 2027–2028 contracting windows. This is consistent with VST’s own commentary on active engagement levels and supports the near-term contracting pipeline for VST’s ~3.2 GW of uncontracted nuclear capacity.</w:t>
      </w:r>
    </w:p>
    <w:p>
      <w:pPr>
        <w:pStyle w:val="ListBullet"/>
        <w:ind w:left="360" w:hanging="360"/>
      </w:pPr>
      <w:r>
        <w:rPr>
          <w:rFonts w:ascii="Calibri" w:hAnsi="Calibri"/>
          <w:b/>
          <w:color w:val="525866"/>
          <w:sz w:val="22"/>
        </w:rPr>
        <w:t>Montour Plant Running at Full Capacity for 30–40 Days at a Time — Validates Rising Dispatch Rates.</w:t>
      </w:r>
      <w:r>
        <w:rPr>
          <w:rFonts w:ascii="Calibri" w:hAnsi="Calibri"/>
          <w:color w:val="525866"/>
          <w:sz w:val="22"/>
        </w:rPr>
        <w:t xml:space="preserve"> TLN noted its Montour plant, previously a peaking asset, has run “at full capacity for 30 to 40 days at a time” over the last two years to meet rising market demand. This is a positive read-through for VST’s gas fleet utilization in PJM, suggesting combined cycle assets are being dispatched at higher rates than historical norms.</w:t>
      </w:r>
    </w:p>
    <w:p>
      <w:pPr>
        <w:pStyle w:val="ListBullet"/>
        <w:ind w:left="360" w:hanging="360"/>
      </w:pPr>
      <w:r>
        <w:rPr>
          <w:rFonts w:ascii="Calibri" w:hAnsi="Calibri"/>
          <w:b/>
          <w:color w:val="525866"/>
          <w:sz w:val="22"/>
        </w:rPr>
        <w:t>2026 Guidance Raised; 2027 FCF/Share Outlook Maintained at $34.</w:t>
      </w:r>
      <w:r>
        <w:rPr>
          <w:rFonts w:ascii="Calibri" w:hAnsi="Calibri"/>
          <w:color w:val="525866"/>
          <w:sz w:val="22"/>
        </w:rPr>
        <w:t xml:space="preserve"> TLN raised 2026 adjusted EBITDA guidance to $2.025–$2.225B and raised adjusted FCF guidance to $1.2–$1.35B. The 2027 base case FCF outlook of $34/share was maintained, with 2028 increasing to $40/share. The company anticipates generating ~$4B of adjusted FCF through end of 2028, returning at least 70% to shareholders. This capital discipline and earnings growth trajectory is consistent with VST’s own multi-year framework.</w:t>
      </w:r>
    </w:p>
    <w:p>
      <w:pPr>
        <w:pStyle w:val="Heading3"/>
      </w:pPr>
      <w:r>
        <w:rPr>
          <w:rFonts w:ascii="Calibri" w:hAnsi="Calibri"/>
          <w:b/>
          <w:color w:val="3B4259"/>
          <w:sz w:val="24"/>
        </w:rPr>
        <w:t>NRG Energy (NRG) — Q2 2026 Earnings Call, August 4, 2026</w:t>
      </w:r>
    </w:p>
    <w:p>
      <w:r>
        <w:rPr>
          <w:rFonts w:ascii="Calibri" w:hAnsi="Calibri"/>
          <w:b/>
          <w:color w:val="525866"/>
          <w:sz w:val="22"/>
        </w:rPr>
        <w:t xml:space="preserve">VST Read-Through: </w:t>
      </w:r>
      <w:r>
        <w:rPr>
          <w:rFonts w:ascii="Calibri" w:hAnsi="Calibri"/>
          <w:color w:val="525866"/>
          <w:sz w:val="22"/>
        </w:rPr>
        <w:t>Mixed — ERCOT market softness confirmed but medium-term tightening thesis intact; new ERCOT supply is a modest headwind.</w:t>
      </w:r>
    </w:p>
    <w:p>
      <w:pPr>
        <w:pStyle w:val="ListBullet"/>
        <w:ind w:left="360" w:hanging="360"/>
      </w:pPr>
      <w:r>
        <w:rPr>
          <w:rFonts w:ascii="Calibri" w:hAnsi="Calibri"/>
          <w:b/>
          <w:color w:val="525866"/>
          <w:sz w:val="22"/>
        </w:rPr>
        <w:t>ERCOT Market ‘Not Valuing Anything Right Now’ — Confirms Near-Term Softness.</w:t>
      </w:r>
      <w:r>
        <w:rPr>
          <w:rFonts w:ascii="Calibri" w:hAnsi="Calibri"/>
          <w:color w:val="525866"/>
          <w:sz w:val="22"/>
        </w:rPr>
        <w:t xml:space="preserve"> NRG management stated: “the ERCOT market is not valuing anything right now. Prices are low. They’re low out the curve.” NRG attributed this to battery and solar development that needs to be absorbed “through 2026–2027 and maybe into 2028.” This is consistent with VST’s own messaging and confirms the near-term ERCOT headwind that has weighed on VST’s stock. However, NRG also stated: “ERCOT needs generation in the medium term” and that as “subsidies for batteries and solar going away in 2027, that build will dramatically reduce over time and the market tightens.”</w:t>
      </w:r>
    </w:p>
    <w:p>
      <w:pPr>
        <w:pStyle w:val="ListBullet"/>
        <w:ind w:left="360" w:hanging="360"/>
      </w:pPr>
      <w:r>
        <w:rPr>
          <w:rFonts w:ascii="Calibri" w:hAnsi="Calibri"/>
          <w:b/>
          <w:color w:val="525866"/>
          <w:sz w:val="22"/>
        </w:rPr>
        <w:t>1.2 GW Texas BYOP Data Center Project Announced — New ERCOT Supply Headwind.</w:t>
      </w:r>
      <w:r>
        <w:rPr>
          <w:rFonts w:ascii="Calibri" w:hAnsi="Calibri"/>
          <w:color w:val="525866"/>
          <w:sz w:val="22"/>
        </w:rPr>
        <w:t xml:space="preserve"> NRG announced a 1.2 GW ‘Bring Your Own Power’ combined cycle gas project in Texas with a leading hyperscaler, targeting late 2029 commercial operations. The project is expected to generate at least $500M of annual adjusted EBITDA at full run rate, with 95% of FCF supported by capacity payments independent of data center utilization. While this validates the data center demand thesis, it also represents new ERCOT supply that VST will need to compete with post-2029.</w:t>
      </w:r>
    </w:p>
    <w:p>
      <w:pPr>
        <w:pStyle w:val="ListBullet"/>
        <w:ind w:left="360" w:hanging="360"/>
      </w:pPr>
      <w:r>
        <w:rPr>
          <w:rFonts w:ascii="Calibri" w:hAnsi="Calibri"/>
          <w:b/>
          <w:color w:val="525866"/>
          <w:sz w:val="22"/>
        </w:rPr>
        <w:t>NRG Reaffirmed 2026 Guidance Despite Tracking Below Midpoint H1.</w:t>
      </w:r>
      <w:r>
        <w:rPr>
          <w:rFonts w:ascii="Calibri" w:hAnsi="Calibri"/>
          <w:color w:val="525866"/>
          <w:sz w:val="22"/>
        </w:rPr>
        <w:t xml:space="preserve"> NRG reaffirmed its 2026 guidance ranges despite tracking below the midpoint through H1 due to “softer load and power prices in Texas, and higher regional power supply costs incurred during Winter Storm Fern.” NRG noted it has “limited unhedged exposure” for the balance of the year and its outlook “does not rely on a material recovery in commodity prices.” This is a direct read-through for VST’s own hedging posture and ability to deliver within guidance despite ERCOT softness.</w:t>
      </w:r>
    </w:p>
    <w:p>
      <w:pPr>
        <w:pStyle w:val="ListBullet"/>
        <w:ind w:left="360" w:hanging="360"/>
      </w:pPr>
      <w:r>
        <w:rPr>
          <w:rFonts w:ascii="Calibri" w:hAnsi="Calibri"/>
          <w:b/>
          <w:color w:val="525866"/>
          <w:sz w:val="22"/>
        </w:rPr>
        <w:t>PJM East Segment Jumped ~5x YoY — Validates VST’s East Segment Strength.</w:t>
      </w:r>
      <w:r>
        <w:rPr>
          <w:rFonts w:ascii="Calibri" w:hAnsi="Calibri"/>
          <w:color w:val="525866"/>
          <w:sz w:val="22"/>
        </w:rPr>
        <w:t xml:space="preserve"> NRG’s East segment adjusted EBITDA jumped nearly five-fold to $469M in Q2 2026, boosted by new generation assets, CPower, and higher capacity prices, partly offset by Winter Storm Fern-related supply costs. This is a direct positive read-through for VST’s East segment, which benefits from the same PJM capacity price tailwinds.</w:t>
      </w:r>
    </w:p>
    <w:p>
      <w:pPr>
        <w:pStyle w:val="Heading3"/>
      </w:pPr>
      <w:r>
        <w:rPr>
          <w:rFonts w:ascii="Calibri" w:hAnsi="Calibri"/>
          <w:b/>
          <w:color w:val="3B4259"/>
          <w:sz w:val="24"/>
        </w:rPr>
        <w:t>Quanta Services (PWR) — Q2 2026 Earnings Release, July 30, 2026</w:t>
      </w:r>
    </w:p>
    <w:p>
      <w:r>
        <w:rPr>
          <w:rFonts w:ascii="Calibri" w:hAnsi="Calibri"/>
          <w:b/>
          <w:color w:val="525866"/>
          <w:sz w:val="22"/>
        </w:rPr>
        <w:t xml:space="preserve">VST Read-Through: </w:t>
      </w:r>
      <w:r>
        <w:rPr>
          <w:rFonts w:ascii="Calibri" w:hAnsi="Calibri"/>
          <w:color w:val="525866"/>
          <w:sz w:val="22"/>
        </w:rPr>
        <w:t>Positive — confirms accelerating grid investment and data center demand that underpins VST’s long-term power demand thesis.</w:t>
      </w:r>
    </w:p>
    <w:p>
      <w:pPr>
        <w:pStyle w:val="ListBullet"/>
        <w:ind w:left="360" w:hanging="360"/>
      </w:pPr>
      <w:r>
        <w:rPr>
          <w:rFonts w:ascii="Calibri" w:hAnsi="Calibri"/>
          <w:b/>
          <w:color w:val="525866"/>
          <w:sz w:val="22"/>
        </w:rPr>
        <w:t>Record $53.4B Backlog; FY EBITDA Guidance Raised ~18% at Midpoint.</w:t>
      </w:r>
      <w:r>
        <w:rPr>
          <w:rFonts w:ascii="Calibri" w:hAnsi="Calibri"/>
          <w:color w:val="525866"/>
          <w:sz w:val="22"/>
        </w:rPr>
        <w:t xml:space="preserve"> PWR reported Q2 EPS of $4.24 vs. $3.24 consensus and raised FY 2026 adjusted EBITDA guidance to $4.09–$4.21B (from $3.49–$3.65B). Total backlog reached a record $53.4B. CEO Duke Austin cited “customers accelerate investment in the electric grid, power generation and mission-critical infrastructure.” The scale of grid investment acceleration is a structural positive for power generators like VST.</w:t>
      </w:r>
    </w:p>
    <w:p>
      <w:pPr>
        <w:pStyle w:val="ListBullet"/>
        <w:ind w:left="360" w:hanging="360"/>
      </w:pPr>
      <w:r>
        <w:rPr>
          <w:rFonts w:ascii="Calibri" w:hAnsi="Calibri"/>
          <w:b/>
          <w:color w:val="525866"/>
          <w:sz w:val="22"/>
        </w:rPr>
        <w:t>Data Center and Grid Modernization Driving ‘Rising Electricity Demand’.</w:t>
      </w:r>
      <w:r>
        <w:rPr>
          <w:rFonts w:ascii="Calibri" w:hAnsi="Calibri"/>
          <w:color w:val="525866"/>
          <w:sz w:val="22"/>
        </w:rPr>
        <w:t xml:space="preserve"> PWR highlighted “rising electricity demand driven by data centers, electrification and grid modernization” as the primary driver of its record backlog. PWR acquired Phalcon (data center electrical capabilities in Northeast/Mid-Atlantic) and Enerfab (power generation and data center fabrication) in Q2 2026, and formed a joint venture to manufacture high-voltage circuit breakers up to 800 kV. This infrastructure investment directly supports the grid capacity needed to deliver VST’s generation to end customers.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the Q1 earnings date are sales, with the majority executed under pre-established 10b5-1 plans (obligation-driven); two discretionary sales by the SVP Chief Accounting Officer are the only non-plan transactions and are relatively small in size. No open-market buys have been filed. The absence of discretionary buying is not alarming given the stock’s recent pullback, but the lack of any insider accumulation at lower prices is worth noting.</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Acosta Arcilia</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15,000</w:t>
            </w:r>
          </w:p>
        </w:tc>
        <w:tc>
          <w:tcPr>
            <w:tcW w:type="dxa" w:w="1234"/>
          </w:tcPr>
          <w:p>
            <w:r>
              <w:rPr>
                <w:rFonts w:ascii="Calibri" w:hAnsi="Calibri"/>
                <w:sz w:val="22"/>
              </w:rPr>
              <w:t>Jun 18, 2026</w:t>
            </w:r>
          </w:p>
        </w:tc>
        <w:tc>
          <w:tcPr>
            <w:tcW w:type="dxa" w:w="1234"/>
          </w:tcPr>
          <w:p>
            <w:r>
              <w:rPr>
                <w:rFonts w:ascii="Calibri" w:hAnsi="Calibri"/>
                <w:sz w:val="22"/>
              </w:rPr>
              <w:t>Jun 23, 2026</w:t>
            </w:r>
          </w:p>
        </w:tc>
        <w:tc>
          <w:tcPr>
            <w:tcW w:type="dxa" w:w="1234"/>
          </w:tcPr>
          <w:p>
            <w:r>
              <w:rPr>
                <w:rFonts w:ascii="Calibri" w:hAnsi="Calibri"/>
                <w:sz w:val="22"/>
              </w:rPr>
              <w:t>10b5-1 Planned Sale — obligation-driven</w:t>
            </w:r>
          </w:p>
        </w:tc>
      </w:tr>
      <w:tr>
        <w:tc>
          <w:tcPr>
            <w:tcW w:type="dxa" w:w="1234"/>
          </w:tcPr>
          <w:p>
            <w:r>
              <w:rPr>
                <w:rFonts w:ascii="Calibri" w:hAnsi="Calibri"/>
                <w:sz w:val="22"/>
              </w:rPr>
              <w:t>Sult John R</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6,500</w:t>
            </w:r>
          </w:p>
        </w:tc>
        <w:tc>
          <w:tcPr>
            <w:tcW w:type="dxa" w:w="1234"/>
          </w:tcPr>
          <w:p>
            <w:r>
              <w:rPr>
                <w:rFonts w:ascii="Calibri" w:hAnsi="Calibri"/>
                <w:sz w:val="22"/>
              </w:rPr>
              <w:t>Jun 18, 2026</w:t>
            </w:r>
          </w:p>
        </w:tc>
        <w:tc>
          <w:tcPr>
            <w:tcW w:type="dxa" w:w="1234"/>
          </w:tcPr>
          <w:p>
            <w:r>
              <w:rPr>
                <w:rFonts w:ascii="Calibri" w:hAnsi="Calibri"/>
                <w:sz w:val="22"/>
              </w:rPr>
              <w:t>Jun 23, 2026</w:t>
            </w:r>
          </w:p>
        </w:tc>
        <w:tc>
          <w:tcPr>
            <w:tcW w:type="dxa" w:w="1234"/>
          </w:tcPr>
          <w:p>
            <w:r>
              <w:rPr>
                <w:rFonts w:ascii="Calibri" w:hAnsi="Calibri"/>
                <w:sz w:val="22"/>
              </w:rPr>
              <w:t>10b5-1 Planned Sale — obligation-driven</w:t>
            </w:r>
          </w:p>
        </w:tc>
      </w:tr>
      <w:tr>
        <w:tc>
          <w:tcPr>
            <w:tcW w:type="dxa" w:w="1234"/>
          </w:tcPr>
          <w:p>
            <w:r>
              <w:rPr>
                <w:rFonts w:ascii="Calibri" w:hAnsi="Calibri"/>
                <w:sz w:val="22"/>
              </w:rPr>
              <w:t>Helm Scott B</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25,000</w:t>
            </w:r>
          </w:p>
        </w:tc>
        <w:tc>
          <w:tcPr>
            <w:tcW w:type="dxa" w:w="1234"/>
          </w:tcPr>
          <w:p>
            <w:r>
              <w:rPr>
                <w:rFonts w:ascii="Calibri" w:hAnsi="Calibri"/>
                <w:sz w:val="22"/>
              </w:rPr>
              <w:t>Jun 16, 2026</w:t>
            </w:r>
          </w:p>
        </w:tc>
        <w:tc>
          <w:tcPr>
            <w:tcW w:type="dxa" w:w="1234"/>
          </w:tcPr>
          <w:p>
            <w:r>
              <w:rPr>
                <w:rFonts w:ascii="Calibri" w:hAnsi="Calibri"/>
                <w:sz w:val="22"/>
              </w:rPr>
              <w:t>Jun 18, 2026</w:t>
            </w:r>
          </w:p>
        </w:tc>
        <w:tc>
          <w:tcPr>
            <w:tcW w:type="dxa" w:w="1234"/>
          </w:tcPr>
          <w:p>
            <w:r>
              <w:rPr>
                <w:rFonts w:ascii="Calibri" w:hAnsi="Calibri"/>
                <w:sz w:val="22"/>
              </w:rPr>
              <w:t>10b5-1 Planned Sale — obligation-driven</w:t>
            </w:r>
          </w:p>
        </w:tc>
      </w:tr>
      <w:tr>
        <w:tc>
          <w:tcPr>
            <w:tcW w:type="dxa" w:w="1234"/>
          </w:tcPr>
          <w:p>
            <w:r>
              <w:rPr>
                <w:rFonts w:ascii="Calibri" w:hAnsi="Calibri"/>
                <w:sz w:val="22"/>
              </w:rPr>
              <w:t>Barbas Paul M</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244</w:t>
            </w:r>
          </w:p>
        </w:tc>
        <w:tc>
          <w:tcPr>
            <w:tcW w:type="dxa" w:w="1234"/>
          </w:tcPr>
          <w:p>
            <w:r>
              <w:rPr>
                <w:rFonts w:ascii="Calibri" w:hAnsi="Calibri"/>
                <w:sz w:val="22"/>
              </w:rPr>
              <w:t>Jun 15, 2026</w:t>
            </w:r>
          </w:p>
        </w:tc>
        <w:tc>
          <w:tcPr>
            <w:tcW w:type="dxa" w:w="1234"/>
          </w:tcPr>
          <w:p>
            <w:r>
              <w:rPr>
                <w:rFonts w:ascii="Calibri" w:hAnsi="Calibri"/>
                <w:sz w:val="22"/>
              </w:rPr>
              <w:t>Jun 16, 2026</w:t>
            </w:r>
          </w:p>
        </w:tc>
        <w:tc>
          <w:tcPr>
            <w:tcW w:type="dxa" w:w="1234"/>
          </w:tcPr>
          <w:p>
            <w:r>
              <w:rPr>
                <w:rFonts w:ascii="Calibri" w:hAnsi="Calibri"/>
                <w:sz w:val="22"/>
              </w:rPr>
              <w:t>10b5-1 Planned Sale — obligation-driven</w:t>
            </w:r>
          </w:p>
        </w:tc>
      </w:tr>
      <w:tr>
        <w:tc>
          <w:tcPr>
            <w:tcW w:type="dxa" w:w="1234"/>
          </w:tcPr>
          <w:p>
            <w:r>
              <w:rPr>
                <w:rFonts w:ascii="Calibri" w:hAnsi="Calibri"/>
                <w:sz w:val="22"/>
              </w:rPr>
              <w:t>Barbas Paul M</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244</w:t>
            </w:r>
          </w:p>
        </w:tc>
        <w:tc>
          <w:tcPr>
            <w:tcW w:type="dxa" w:w="1234"/>
          </w:tcPr>
          <w:p>
            <w:r>
              <w:rPr>
                <w:rFonts w:ascii="Calibri" w:hAnsi="Calibri"/>
                <w:sz w:val="22"/>
              </w:rPr>
              <w:t>Jun 12, 2026</w:t>
            </w:r>
          </w:p>
        </w:tc>
        <w:tc>
          <w:tcPr>
            <w:tcW w:type="dxa" w:w="1234"/>
          </w:tcPr>
          <w:p>
            <w:r>
              <w:rPr>
                <w:rFonts w:ascii="Calibri" w:hAnsi="Calibri"/>
                <w:sz w:val="22"/>
              </w:rPr>
              <w:t>Jun 16, 2026</w:t>
            </w:r>
          </w:p>
        </w:tc>
        <w:tc>
          <w:tcPr>
            <w:tcW w:type="dxa" w:w="1234"/>
          </w:tcPr>
          <w:p>
            <w:r>
              <w:rPr>
                <w:rFonts w:ascii="Calibri" w:hAnsi="Calibri"/>
                <w:sz w:val="22"/>
              </w:rPr>
              <w:t>10b5-1 Planned Sale — obligation-driven</w:t>
            </w:r>
          </w:p>
        </w:tc>
      </w:tr>
      <w:tr>
        <w:tc>
          <w:tcPr>
            <w:tcW w:type="dxa" w:w="1234"/>
          </w:tcPr>
          <w:p>
            <w:r>
              <w:rPr>
                <w:rFonts w:ascii="Calibri" w:hAnsi="Calibri"/>
                <w:sz w:val="22"/>
              </w:rPr>
              <w:t>Montemayor Margaret</w:t>
            </w:r>
          </w:p>
        </w:tc>
        <w:tc>
          <w:tcPr>
            <w:tcW w:type="dxa" w:w="1234"/>
          </w:tcPr>
          <w:p>
            <w:r>
              <w:rPr>
                <w:rFonts w:ascii="Calibri" w:hAnsi="Calibri"/>
                <w:sz w:val="22"/>
              </w:rPr>
              <w:t>SVP, Chief Accounting Officer</w:t>
            </w:r>
          </w:p>
        </w:tc>
        <w:tc>
          <w:tcPr>
            <w:tcW w:type="dxa" w:w="1234"/>
          </w:tcPr>
          <w:p>
            <w:r>
              <w:rPr>
                <w:rFonts w:ascii="Calibri" w:hAnsi="Calibri"/>
                <w:sz w:val="22"/>
              </w:rPr>
              <w:t>Open Market Sale</w:t>
            </w:r>
          </w:p>
        </w:tc>
        <w:tc>
          <w:tcPr>
            <w:tcW w:type="dxa" w:w="1234"/>
          </w:tcPr>
          <w:p>
            <w:r>
              <w:rPr>
                <w:rFonts w:ascii="Calibri" w:hAnsi="Calibri"/>
                <w:sz w:val="22"/>
              </w:rPr>
              <w:t>4,600</w:t>
            </w:r>
          </w:p>
        </w:tc>
        <w:tc>
          <w:tcPr>
            <w:tcW w:type="dxa" w:w="1234"/>
          </w:tcPr>
          <w:p>
            <w:r>
              <w:rPr>
                <w:rFonts w:ascii="Calibri" w:hAnsi="Calibri"/>
                <w:sz w:val="22"/>
              </w:rPr>
              <w:t>Jun 2, 2026</w:t>
            </w:r>
          </w:p>
        </w:tc>
        <w:tc>
          <w:tcPr>
            <w:tcW w:type="dxa" w:w="1234"/>
          </w:tcPr>
          <w:p>
            <w:r>
              <w:rPr>
                <w:rFonts w:ascii="Calibri" w:hAnsi="Calibri"/>
                <w:sz w:val="22"/>
              </w:rPr>
              <w:t>Jun 4, 2026</w:t>
            </w:r>
          </w:p>
        </w:tc>
        <w:tc>
          <w:tcPr>
            <w:tcW w:type="dxa" w:w="1234"/>
          </w:tcPr>
          <w:p>
            <w:r>
              <w:rPr>
                <w:rFonts w:ascii="Calibri" w:hAnsi="Calibri"/>
                <w:sz w:val="22"/>
              </w:rPr>
              <w:t>Discretionary sale — no 10b5-1 plan indicated</w:t>
            </w:r>
          </w:p>
        </w:tc>
      </w:tr>
      <w:tr>
        <w:tc>
          <w:tcPr>
            <w:tcW w:type="dxa" w:w="1234"/>
          </w:tcPr>
          <w:p>
            <w:r>
              <w:rPr>
                <w:rFonts w:ascii="Calibri" w:hAnsi="Calibri"/>
                <w:sz w:val="22"/>
              </w:rPr>
              <w:t>Montemayor Margaret</w:t>
            </w:r>
          </w:p>
        </w:tc>
        <w:tc>
          <w:tcPr>
            <w:tcW w:type="dxa" w:w="1234"/>
          </w:tcPr>
          <w:p>
            <w:r>
              <w:rPr>
                <w:rFonts w:ascii="Calibri" w:hAnsi="Calibri"/>
                <w:sz w:val="22"/>
              </w:rPr>
              <w:t>SVP, Chief Accounting Officer</w:t>
            </w:r>
          </w:p>
        </w:tc>
        <w:tc>
          <w:tcPr>
            <w:tcW w:type="dxa" w:w="1234"/>
          </w:tcPr>
          <w:p>
            <w:r>
              <w:rPr>
                <w:rFonts w:ascii="Calibri" w:hAnsi="Calibri"/>
                <w:sz w:val="22"/>
              </w:rPr>
              <w:t>Open Market Sale</w:t>
            </w:r>
          </w:p>
        </w:tc>
        <w:tc>
          <w:tcPr>
            <w:tcW w:type="dxa" w:w="1234"/>
          </w:tcPr>
          <w:p>
            <w:r>
              <w:rPr>
                <w:rFonts w:ascii="Calibri" w:hAnsi="Calibri"/>
                <w:sz w:val="22"/>
              </w:rPr>
              <w:t>5,000</w:t>
            </w:r>
          </w:p>
        </w:tc>
        <w:tc>
          <w:tcPr>
            <w:tcW w:type="dxa" w:w="1234"/>
          </w:tcPr>
          <w:p>
            <w:r>
              <w:rPr>
                <w:rFonts w:ascii="Calibri" w:hAnsi="Calibri"/>
                <w:sz w:val="22"/>
              </w:rPr>
              <w:t>May 27, 2026</w:t>
            </w:r>
          </w:p>
        </w:tc>
        <w:tc>
          <w:tcPr>
            <w:tcW w:type="dxa" w:w="1234"/>
          </w:tcPr>
          <w:p>
            <w:r>
              <w:rPr>
                <w:rFonts w:ascii="Calibri" w:hAnsi="Calibri"/>
                <w:sz w:val="22"/>
              </w:rPr>
              <w:t>May 29, 2026</w:t>
            </w:r>
          </w:p>
        </w:tc>
        <w:tc>
          <w:tcPr>
            <w:tcW w:type="dxa" w:w="1234"/>
          </w:tcPr>
          <w:p>
            <w:r>
              <w:rPr>
                <w:rFonts w:ascii="Calibri" w:hAnsi="Calibri"/>
                <w:sz w:val="22"/>
              </w:rPr>
              <w:t>Discretionary sale — no 10b5-1 plan indicated</w:t>
            </w:r>
          </w:p>
        </w:tc>
      </w:tr>
    </w:tbl>
    <w:p>
      <w:r>
        <w:rPr>
          <w:rFonts w:ascii="Calibri" w:hAnsi="Calibri"/>
          <w:i/>
          <w:color w:val="525866"/>
          <w:sz w:val="22"/>
        </w:rPr>
        <w:t xml:space="preserve">Source: SEC Form 4 Filings Database. </w:t>
      </w:r>
      <w:r>
        <w:rPr>
          <w:rFonts w:ascii="Calibri" w:hAnsi="Calibri"/>
          <w:b/>
          <w:color w:val="525866"/>
          <w:sz w:val="22"/>
        </w:rPr>
        <w:t xml:space="preserve">Assessment: </w:t>
      </w:r>
      <w:r>
        <w:rPr>
          <w:rFonts w:ascii="Calibri" w:hAnsi="Calibri"/>
          <w:color w:val="525866"/>
          <w:sz w:val="22"/>
        </w:rPr>
        <w:t>The insider transaction picture is benign but not bullish. Five of seven transactions are 10b5-1 plan sales (pre-scheduled, non-discretionary), which carry no informational signal. The two discretionary sales by the SVP Chief Accounting Officer (9,600 shares total in late May/early June) are modest in size relative to her remaining holdings (9,760 shares post-sale) and occurred when the stock was trading in the $155–$165 range. No open-market buys have been filed since the Q1 earnings date. The absence of insider buying at the current ~$141 level (near 52-week lows) is notable but not alarming given the 10b5-1 plan structure that governs most insider activity at VST.</w:t>
      </w:r>
    </w:p>
    <w:p>
      <w:r>
        <w:br w:type="page"/>
      </w:r>
    </w:p>
    <w:p>
      <w:pPr>
        <w:pStyle w:val="Heading2"/>
      </w:pPr>
      <w:r>
        <w:rPr>
          <w:rFonts w:ascii="Calibri" w:hAnsi="Calibri"/>
          <w:b/>
          <w:color w:val="3B4259"/>
          <w:sz w:val="28"/>
        </w:rPr>
        <w:t>9. Key Risks &amp; Questions for Management</w:t>
      </w:r>
    </w:p>
    <w:p>
      <w:r>
        <w:rPr>
          <w:rFonts w:ascii="Calibri" w:hAnsi="Calibri"/>
          <w:b/>
          <w:color w:val="525866"/>
          <w:sz w:val="22"/>
        </w:rPr>
        <w:t xml:space="preserve">Key Takeaway: </w:t>
      </w:r>
      <w:r>
        <w:rPr>
          <w:rFonts w:ascii="Calibri" w:hAnsi="Calibri"/>
          <w:color w:val="525866"/>
          <w:sz w:val="22"/>
        </w:rPr>
        <w:t>The primary risk heading into the print is ERCOT weather and forward curve softness; the primary opportunity is incremental guidance on Cogentrix, the Meta PPA ramp, and the July PJM auction result. Management’s tone on data center contracting engagement will be closely watched given CEG’s constructive commentary.</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ERCOT Weather and Forward Curve Softness.</w:t>
      </w:r>
      <w:r>
        <w:rPr>
          <w:rFonts w:ascii="Calibri" w:hAnsi="Calibri"/>
          <w:color w:val="525866"/>
          <w:sz w:val="22"/>
        </w:rPr>
        <w:t xml:space="preserve"> Q2 2026 ERCOT power prices remain soft, with NRG explicitly noting “prices are low out the curve.” If Q2 weather was milder than expected (as Q1 was the second warmest since 1950), the ERCOT generation segment could disappoint. The integrated model’s hedge provides some offset, but a repeat of Q2 2025’s miss pattern is the primary downside scenario.</w:t>
      </w:r>
    </w:p>
    <w:p>
      <w:pPr>
        <w:pStyle w:val="ListBullet"/>
        <w:ind w:left="360" w:hanging="360"/>
      </w:pPr>
      <w:r>
        <w:rPr>
          <w:rFonts w:ascii="Calibri" w:hAnsi="Calibri"/>
          <w:b/>
          <w:color w:val="525866"/>
          <w:sz w:val="22"/>
        </w:rPr>
        <w:t>Nuclear Capacity Factor Execution.</w:t>
      </w:r>
      <w:r>
        <w:rPr>
          <w:rFonts w:ascii="Calibri" w:hAnsi="Calibri"/>
          <w:color w:val="525866"/>
          <w:sz w:val="22"/>
        </w:rPr>
        <w:t xml:space="preserve"> Q1 2026 nuclear capacity factor was 70.4% (below the 77.6% Q2 consensus), partly due to refueling outages. Any unplanned outages at Comanche Peak or Beaver Valley in Q2 would directly reduce generation EBITDA. The Meta PPA ramp also depends on sustained high nuclear availability.</w:t>
      </w:r>
    </w:p>
    <w:p>
      <w:pPr>
        <w:pStyle w:val="ListBullet"/>
        <w:ind w:left="360" w:hanging="360"/>
      </w:pPr>
      <w:r>
        <w:rPr>
          <w:rFonts w:ascii="Calibri" w:hAnsi="Calibri"/>
          <w:b/>
          <w:color w:val="525866"/>
          <w:sz w:val="22"/>
        </w:rPr>
        <w:t>Cogentrix Acquisition Timing and Integration Risk.</w:t>
      </w:r>
      <w:r>
        <w:rPr>
          <w:rFonts w:ascii="Calibri" w:hAnsi="Calibri"/>
          <w:color w:val="525866"/>
          <w:sz w:val="22"/>
        </w:rPr>
        <w:t xml:space="preserve"> The 5,500 MW Cogentrix acquisition is expected to close H2 2026, but any delay would push out the guidance update and the associated EBITDA uplift. Integration complexity across multiple markets adds execution risk.</w:t>
      </w:r>
    </w:p>
    <w:p>
      <w:pPr>
        <w:pStyle w:val="ListBullet"/>
        <w:ind w:left="360" w:hanging="360"/>
      </w:pPr>
      <w:r>
        <w:rPr>
          <w:rFonts w:ascii="Calibri" w:hAnsi="Calibri"/>
          <w:b/>
          <w:color w:val="525866"/>
          <w:sz w:val="22"/>
        </w:rPr>
        <w:t>PJM Regulatory Uncertainty (RBP/IRAS Rules).</w:t>
      </w:r>
      <w:r>
        <w:rPr>
          <w:rFonts w:ascii="Calibri" w:hAnsi="Calibri"/>
          <w:color w:val="525866"/>
          <w:sz w:val="22"/>
        </w:rPr>
        <w:t xml:space="preserve"> While CEG and TLN both noted accelerating PJM regulatory clarity, the final rules for the Reliability Backstop Procurement (RBP) and Interim Resource Adequacy Service (IRAS) are not yet finalized. Any adverse ruling on co-location or backstop procurement could slow VST’s nuclear contracting pipeline.</w:t>
      </w:r>
    </w:p>
    <w:p>
      <w:pPr>
        <w:pStyle w:val="ListBullet"/>
        <w:ind w:left="360" w:hanging="360"/>
      </w:pPr>
      <w:r>
        <w:rPr>
          <w:rFonts w:ascii="Calibri" w:hAnsi="Calibri"/>
          <w:b/>
          <w:color w:val="525866"/>
          <w:sz w:val="22"/>
        </w:rPr>
        <w:t>Multiple Compression Risk.</w:t>
      </w:r>
      <w:r>
        <w:rPr>
          <w:rFonts w:ascii="Calibri" w:hAnsi="Calibri"/>
          <w:color w:val="525866"/>
          <w:sz w:val="22"/>
        </w:rPr>
        <w:t xml:space="preserve"> VST’s NTM EV/EBITDA of 8.6x has already compressed significantly from 13.9x a year ago. If the AI power demand narrative continues to cool or ERCOT forward curves remain depressed, further multiple compression is possible even if EBITDA tracks guidance.</w:t>
      </w:r>
    </w:p>
    <w:p>
      <w:pPr>
        <w:pStyle w:val="ListBullet"/>
        <w:ind w:left="360" w:hanging="360"/>
      </w:pPr>
      <w:r>
        <w:rPr>
          <w:rFonts w:ascii="Calibri" w:hAnsi="Calibri"/>
          <w:b/>
          <w:color w:val="525866"/>
          <w:sz w:val="22"/>
        </w:rPr>
        <w:t>Texas SB-6 and Regulatory Headwinds.</w:t>
      </w:r>
      <w:r>
        <w:rPr>
          <w:rFonts w:ascii="Calibri" w:hAnsi="Calibri"/>
          <w:color w:val="525866"/>
          <w:sz w:val="22"/>
        </w:rPr>
        <w:t xml:space="preserve"> Ongoing Texas legislative and regulatory scrutiny of data center load growth (batch zero process, SB-6) could slow the pace of new large load connections in ERCOT, delaying the market tightening that VST’s long-term ERCOT thesis depends on.</w:t>
      </w:r>
    </w:p>
    <w:p>
      <w:pPr>
        <w:pStyle w:val="Heading3"/>
      </w:pPr>
      <w:r>
        <w:rPr>
          <w:rFonts w:ascii="Calibri" w:hAnsi="Calibri"/>
          <w:b/>
          <w:color w:val="3B4259"/>
          <w:sz w:val="24"/>
        </w:rPr>
        <w:t>Key Questions for Management</w:t>
      </w:r>
    </w:p>
    <w:p>
      <w:pPr>
        <w:pStyle w:val="ListNumber"/>
        <w:ind w:left="360" w:hanging="360"/>
      </w:pPr>
      <w:r>
        <w:rPr>
          <w:rFonts w:ascii="Calibri" w:hAnsi="Calibri"/>
          <w:b/>
          <w:color w:val="525866"/>
          <w:sz w:val="22"/>
        </w:rPr>
        <w:t xml:space="preserve">PJM Capacity Auction Update: </w:t>
      </w:r>
      <w:r>
        <w:rPr>
          <w:rFonts w:ascii="Calibri" w:hAnsi="Calibri"/>
          <w:color w:val="525866"/>
          <w:sz w:val="22"/>
        </w:rPr>
        <w:t>Can you quantify the incremental EBITDA impact of the July 14 PJM auction result (10.9 GW at $325/MW-day) on 2027 capacity revenue, and does this result prompt a revision to the 2027 adjusted EBITDA midpoint opportunity range?</w:t>
      </w:r>
    </w:p>
    <w:p>
      <w:pPr>
        <w:pStyle w:val="ListNumber"/>
        <w:ind w:left="360" w:hanging="360"/>
      </w:pPr>
      <w:r>
        <w:rPr>
          <w:rFonts w:ascii="Calibri" w:hAnsi="Calibri"/>
          <w:b/>
          <w:color w:val="525866"/>
          <w:sz w:val="22"/>
        </w:rPr>
        <w:t xml:space="preserve">Nuclear Contracting Pipeline: </w:t>
      </w:r>
      <w:r>
        <w:rPr>
          <w:rFonts w:ascii="Calibri" w:hAnsi="Calibri"/>
          <w:color w:val="525866"/>
          <w:sz w:val="22"/>
        </w:rPr>
        <w:t>What is the current status of contracting discussions for the ~3.2 GW of uncontracted nuclear capacity at Beaver Valley and Comanche Peak? Given CEG’s success signing 920 MW of new deals at 18.5-year average duration, are you seeing similar pricing and tenor in your own discussions?</w:t>
      </w:r>
    </w:p>
    <w:p>
      <w:pPr>
        <w:pStyle w:val="ListNumber"/>
        <w:ind w:left="360" w:hanging="360"/>
      </w:pPr>
      <w:r>
        <w:rPr>
          <w:rFonts w:ascii="Calibri" w:hAnsi="Calibri"/>
          <w:b/>
          <w:color w:val="525866"/>
          <w:sz w:val="22"/>
        </w:rPr>
        <w:t xml:space="preserve">Cogentrix Acquisition Timing: </w:t>
      </w:r>
      <w:r>
        <w:rPr>
          <w:rFonts w:ascii="Calibri" w:hAnsi="Calibri"/>
          <w:color w:val="525866"/>
          <w:sz w:val="22"/>
        </w:rPr>
        <w:t>Can you provide an updated timeline for the Cogentrix close and confirm whether you expect to update 2026 and 2027 guidance ranges upon close? What is the expected EBITDA contribution in the first full year of ownership?</w:t>
      </w:r>
    </w:p>
    <w:p>
      <w:pPr>
        <w:pStyle w:val="ListNumber"/>
        <w:ind w:left="360" w:hanging="360"/>
      </w:pPr>
      <w:r>
        <w:rPr>
          <w:rFonts w:ascii="Calibri" w:hAnsi="Calibri"/>
          <w:b/>
          <w:color w:val="525866"/>
          <w:sz w:val="22"/>
        </w:rPr>
        <w:t xml:space="preserve">ERCOT Q2 Performance: </w:t>
      </w:r>
      <w:r>
        <w:rPr>
          <w:rFonts w:ascii="Calibri" w:hAnsi="Calibri"/>
          <w:color w:val="525866"/>
          <w:sz w:val="22"/>
        </w:rPr>
        <w:t>How did ERCOT weather and power prices track in Q2 relative to your hedged position? Did the integrated model’s natural hedge offset any retail softness, as it did in Q1?</w:t>
      </w:r>
    </w:p>
    <w:p>
      <w:pPr>
        <w:pStyle w:val="ListNumber"/>
        <w:ind w:left="360" w:hanging="360"/>
      </w:pPr>
      <w:r>
        <w:rPr>
          <w:rFonts w:ascii="Calibri" w:hAnsi="Calibri"/>
          <w:b/>
          <w:color w:val="525866"/>
          <w:sz w:val="22"/>
        </w:rPr>
        <w:t xml:space="preserve">Capital Allocation Update: </w:t>
      </w:r>
      <w:r>
        <w:rPr>
          <w:rFonts w:ascii="Calibri" w:hAnsi="Calibri"/>
          <w:color w:val="525866"/>
          <w:sz w:val="22"/>
        </w:rPr>
        <w:t>How much of the ~$1.475B remaining buyback authorization has been deployed since the Q1 call? Given the stock’s pullback to ~$141, has the pace of repurchases accelerated?</w:t>
      </w:r>
    </w:p>
    <w:p>
      <w:pPr>
        <w:pStyle w:val="ListNumber"/>
        <w:ind w:left="360" w:hanging="360"/>
      </w:pPr>
      <w:r>
        <w:rPr>
          <w:rFonts w:ascii="Calibri" w:hAnsi="Calibri"/>
          <w:b/>
          <w:color w:val="525866"/>
          <w:sz w:val="22"/>
        </w:rPr>
        <w:t xml:space="preserve">Meta PPA Ramp and Nuclear Uprate Timeline: </w:t>
      </w:r>
      <w:r>
        <w:rPr>
          <w:rFonts w:ascii="Calibri" w:hAnsi="Calibri"/>
          <w:color w:val="525866"/>
          <w:sz w:val="22"/>
        </w:rPr>
        <w:t>What is the current status of the Meta PPA ramp at Comanche Peak and Beaver Valley? When do you expect the nuclear uprate projects to begin contributing to EBITDA, and what is the latest timeline for the uprate completion?</w:t>
      </w:r>
    </w:p>
    <w:p>
      <w:pPr>
        <w:pStyle w:val="ListNumber"/>
        <w:ind w:left="360" w:hanging="360"/>
      </w:pPr>
      <w:r>
        <w:rPr>
          <w:rFonts w:ascii="Calibri" w:hAnsi="Calibri"/>
          <w:b/>
          <w:color w:val="525866"/>
          <w:sz w:val="22"/>
        </w:rPr>
        <w:t xml:space="preserve">Bridge Power and Gas Contracting: </w:t>
      </w:r>
      <w:r>
        <w:rPr>
          <w:rFonts w:ascii="Calibri" w:hAnsi="Calibri"/>
          <w:color w:val="525866"/>
          <w:sz w:val="22"/>
        </w:rPr>
        <w:t>On the Q1 call, you noted conversations are increasingly leaning toward gas in bridge power solutions. Have any of these discussions progressed to term sheets or signed agreements? How does the NRG BYOP announcement in Texas affect your own gas contracting strategy in ERCOT?</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