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trs-earnings-predictions--2026-08-06"/>
    <w:p>
      <w:pPr>
        <w:pStyle w:val="Heading1"/>
      </w:pPr>
      <w:r>
        <w:t xml:space="preserve">VTRS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~$0.66 vs. cons $0.62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~$3.73B vs. cons $3.68B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~$1.06B vs. cons $1.02B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</w:t>
            </w:r>
            <m:oMath>
              <m:r>
                <m:t>2.42</m:t>
              </m:r>
              <m:r>
                <m:rPr>
                  <m:sty m:val="p"/>
                </m:rPr>
                <m:t>−</m:t>
              </m:r>
              <m:r>
                <m:t>2.50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2.46) vs. cons $2.46 (FY2026); prior $2.33-2.47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~</w:t>
            </w:r>
            <m:oMath>
              <m:r>
                <m:t>14.7</m:t>
              </m:r>
              <m:r>
                <m:rPr>
                  <m:sty m:val="p"/>
                </m:rPr>
                <m:t>−</m:t>
              </m:r>
              <m:r>
                <m:t>15.0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14.80B) vs. cons</w:t>
            </w:r>
            <w:r>
              <w:t xml:space="preserve"> </w:t>
            </w:r>
            <m:oMath>
              <m:r>
                <m:t>14.75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;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14.70B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to mid ~$4.35B vs. cons</w:t>
            </w:r>
            <w:r>
              <w:t xml:space="preserve"> </w:t>
            </w:r>
            <m:oMath>
              <m:r>
                <m:t>4.30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;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4.30B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Greater China operational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~+12% YoY vs. cons/plan ~+6% (Q2/FY2026)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product revenue ramp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110</m:t>
              </m:r>
              <m:r>
                <m:t>M</m:t>
              </m:r>
              <m:r>
                <m:t>i</m:t>
              </m:r>
              <m:r>
                <m:t>n</m:t>
              </m:r>
              <m:r>
                <m:t>Q</m:t>
              </m:r>
              <m:r>
                <m:t>2</m:t>
              </m:r>
              <m:r>
                <m:t>t</m:t>
              </m:r>
              <m:r>
                <m:t>r</m:t>
              </m:r>
              <m:r>
                <m:t>a</m:t>
              </m:r>
              <m:r>
                <m:t>c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450-550M vs. cons ~$500M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VTRS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(FADE)</w:t>
            </w:r>
          </w:p>
        </w:tc>
        <w:tc>
          <w:tcPr/>
          <w:p>
            <w:pPr>
              <w:pStyle w:val="Compact"/>
            </w:pPr>
            <w:r>
              <w:t xml:space="preserve">Beat is largely priced after a ~42% YTD run to 52-week highs; the swing factor is whether management raises vs. reaffirms FY guide. A modest/narrow raise (or reaffirm-only) with H2-weighted phasing means the implied 2H guide is effectively trimmed after the Q2 beat, so out-period estimate math caps upside and the initial pop fades back toward flat as the richly-valued, low-beta name digests limited fresh upside.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2026-08-06T00:22:42Z</dcterms:created>
  <dcterms:modified xsi:type="dcterms:W3CDTF">2026-08-06T00:22:42Z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