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VTRS (Viatris) before writing the preview. Let me start gathering recent filings, transcripts, and news.I'll read the most recent earnings materials (Q1 2026 call and release) plus the Q4 2025 call for full-year guidance context.Let me get recent stock price data and news, plus check the Q4 2025 call for full-year guidance framing.Let me check for recent press releases and news around the key July 30 XULANE LO PDUFA date.Let me do a quick web search on the key catalyst (XULANE LO PDUFA) and consensus estimates.I have strong material. Let me quickly review the Q4 2025 call for 2026 guidance drivers and any tariff/manufacturing risk framing.I have comprehensive material. Let me get the recent dividend detail and any consensus estimate quickly.# Viatris (VTRS) — Q2 2026 Earnings Preview</w:t>
      </w:r>
      <w:r>
        <w:t xml:space="preserve"> </w:t>
      </w:r>
      <w:r>
        <w:rPr>
          <w:i/>
          <w:iCs/>
        </w:rPr>
        <w:t xml:space="preserve">Report date: Thursday, August 6, 2026 (before market open); conference call 8:30 a.m. ET</w:t>
      </w:r>
    </w:p>
    <w:bookmarkStart w:id="9" w:name="the-setup-in-one-line"/>
    <w:p>
      <w:pPr>
        <w:pStyle w:val="Heading2"/>
      </w:pPr>
      <w:r>
        <w:t xml:space="preserve">The setup in one line</w:t>
      </w:r>
    </w:p>
    <w:p>
      <w:pPr>
        <w:pStyle w:val="FirstParagraph"/>
      </w:pPr>
      <w:r>
        <w:t xml:space="preserve">Viatris reports Q2 into strength: the stock is near 52-week highs after a Q1 blowout, management has effectively teased a guidance raise, and one of the year's key catalysts — the Gwyn Lo contraceptive patch — was</w:t>
      </w:r>
      <w:r>
        <w:t xml:space="preserve"> </w:t>
      </w:r>
      <w:r>
        <w:rPr>
          <w:b/>
          <w:bCs/>
        </w:rPr>
        <w:t xml:space="preserve">approved by the FDA on July 29</w:t>
      </w:r>
      <w:r>
        <w:t xml:space="preserve">, just a week before the print. The question is less "will the quarter be fine" and more "how much of the good news is already in the stock, and does management finally raise the full-year bar?"</w:t>
      </w:r>
    </w:p>
    <w:p>
      <w:r>
        <w:pict>
          <v:rect style="width:0;height:1.5pt" o:hralign="center" o:hrstd="t" o:hr="t"/>
        </w:pict>
      </w:r>
    </w:p>
    <w:bookmarkEnd w:id="9"/>
    <w:bookmarkStart w:id="10" w:name="where-the-stock-is-going-in"/>
    <w:p>
      <w:pPr>
        <w:pStyle w:val="Heading2"/>
      </w:pPr>
      <w:r>
        <w:t xml:space="preserve">Where the stock is going in</w:t>
      </w:r>
    </w:p>
    <w:p>
      <w:pPr>
        <w:pStyle w:val="Compact"/>
        <w:numPr>
          <w:ilvl w:val="0"/>
          <w:numId w:val="1001"/>
        </w:numPr>
      </w:pPr>
      <w:r>
        <w:t xml:space="preserve">VTRS trades around **</w:t>
      </w:r>
      <m:oMath>
        <m:r>
          <m:t>17.67</m:t>
        </m:r>
        <m:r>
          <m:rPr>
            <m:sty m:val="p"/>
          </m:rPr>
          <m:t>*</m:t>
        </m:r>
        <m:r>
          <m:rPr>
            <m:sty m:val="p"/>
          </m:rPr>
          <m:t>*</m:t>
        </m:r>
        <m:r>
          <m:rPr>
            <m:sty m:val="p"/>
          </m:rPr>
          <m:t>(</m:t>
        </m:r>
        <m:r>
          <m:t>A</m:t>
        </m:r>
        <m:r>
          <m:t>u</m:t>
        </m:r>
        <m:r>
          <m:t>g</m:t>
        </m:r>
        <m:r>
          <m:t>5</m:t>
        </m:r>
        <m:r>
          <m:t>c</m:t>
        </m:r>
        <m:r>
          <m:t>l</m:t>
        </m:r>
        <m:r>
          <m:t>o</m:t>
        </m:r>
        <m:r>
          <m:t>s</m:t>
        </m:r>
        <m:r>
          <m:t>e</m:t>
        </m:r>
        <m:r>
          <m:rPr>
            <m:sty m:val="p"/>
          </m:rPr>
          <m:t>)</m:t>
        </m:r>
        <m:r>
          <m:rPr>
            <m:sty m:val="p"/>
          </m:rPr>
          <m:t>,</m:t>
        </m:r>
        <m:r>
          <m:t>u</m:t>
        </m:r>
        <m:r>
          <m:t>p</m:t>
        </m:r>
        <m:r>
          <m:t>r</m:t>
        </m:r>
        <m:r>
          <m:t>o</m:t>
        </m:r>
        <m:r>
          <m:t>u</m:t>
        </m:r>
        <m:r>
          <m:t>g</m:t>
        </m:r>
        <m:r>
          <m:t>h</m:t>
        </m:r>
        <m:r>
          <m:t>l</m:t>
        </m:r>
        <m:r>
          <m:t>y</m:t>
        </m:r>
        <m:r>
          <m:rPr>
            <m:sty m:val="p"/>
          </m:rPr>
          <m:t>*</m:t>
        </m:r>
        <m:r>
          <m:rPr>
            <m:sty m:val="p"/>
          </m:rPr>
          <m:t>*</m:t>
        </m:r>
        <m:r>
          <m:t>42</m:t>
        </m:r>
      </m:oMath>
      <w:r>
        <w:t xml:space="preserve">12.46 to start 2026, and near its 12-month high.</w:t>
      </w:r>
    </w:p>
    <w:p>
      <w:pPr>
        <w:pStyle w:val="Compact"/>
        <w:numPr>
          <w:ilvl w:val="0"/>
          <w:numId w:val="1001"/>
        </w:numPr>
      </w:pPr>
      <w:r>
        <w:t xml:space="preserve">The stock re-rated hard after the Q1 report (May 7), jumping from ~</w:t>
      </w:r>
      <m:oMath>
        <m:r>
          <m:t>16</m:t>
        </m:r>
        <m:r>
          <m:t>t</m:t>
        </m:r>
        <m:r>
          <m:t>o</m:t>
        </m:r>
        <m:r>
          <m:t> </m:t>
        </m:r>
      </m:oMath>
      <w:r>
        <w:t xml:space="preserve">17.40 in a day, and has largely held those gains since.</w:t>
      </w:r>
    </w:p>
    <w:p>
      <w:pPr>
        <w:pStyle w:val="Compact"/>
        <w:numPr>
          <w:ilvl w:val="0"/>
          <w:numId w:val="1001"/>
        </w:numPr>
      </w:pPr>
      <w:r>
        <w:t xml:space="preserve">After a multi-year "value trap" reputation, the narrative has flipped to</w:t>
      </w:r>
      <w:r>
        <w:t xml:space="preserve"> </w:t>
      </w:r>
      <w:r>
        <w:rPr>
          <w:b/>
          <w:bCs/>
        </w:rPr>
        <w:t xml:space="preserve">"stabilized base + pipeline optionality + cost-out."</w:t>
      </w:r>
      <w:r>
        <w:t xml:space="preserve"> </w:t>
      </w:r>
      <w:r>
        <w:t xml:space="preserve">Expectations have risen accordingly — the easy sentiment win is behind it.</w:t>
      </w:r>
    </w:p>
    <w:bookmarkEnd w:id="10"/>
    <w:bookmarkStart w:id="11" w:name="consensus-expectations-street"/>
    <w:p>
      <w:pPr>
        <w:pStyle w:val="Heading2"/>
      </w:pPr>
      <w:r>
        <w:t xml:space="preserve">Consensus expectations (Street)</w:t>
      </w:r>
    </w:p>
    <w:p>
      <w:pPr>
        <w:pStyle w:val="Compact"/>
        <w:numPr>
          <w:ilvl w:val="0"/>
          <w:numId w:val="1002"/>
        </w:numPr>
      </w:pPr>
      <w:r>
        <w:rPr>
          <w:b/>
          <w:bCs/>
        </w:rPr>
        <w:t xml:space="preserve">Q2 revenue:</w:t>
      </w:r>
      <w:r>
        <w:t xml:space="preserve"> </w:t>
      </w:r>
      <w:r>
        <w:t xml:space="preserve">~$3.68 billion</w:t>
      </w:r>
    </w:p>
    <w:p>
      <w:pPr>
        <w:pStyle w:val="Compact"/>
        <w:numPr>
          <w:ilvl w:val="0"/>
          <w:numId w:val="1002"/>
        </w:numPr>
      </w:pPr>
      <w:r>
        <w:rPr>
          <w:b/>
          <w:bCs/>
        </w:rPr>
        <w:t xml:space="preserve">Q2 adjusted EPS:</w:t>
      </w:r>
      <w:r>
        <w:t xml:space="preserve"> </w:t>
      </w:r>
      <w:r>
        <w:t xml:space="preserve">~$0.62 (roughly flat vs. the $0.62 Viatris posted in Q2 2025)</w:t>
      </w:r>
    </w:p>
    <w:p>
      <w:pPr>
        <w:pStyle w:val="Compact"/>
        <w:numPr>
          <w:ilvl w:val="0"/>
          <w:numId w:val="1002"/>
        </w:numPr>
      </w:pPr>
      <w:r>
        <w:t xml:space="preserve">Viatris has</w:t>
      </w:r>
      <w:r>
        <w:t xml:space="preserve"> </w:t>
      </w:r>
      <w:r>
        <w:rPr>
          <w:b/>
          <w:bCs/>
        </w:rPr>
        <w:t xml:space="preserve">beaten EPS in each of the last four quarters</w:t>
      </w:r>
      <w:r>
        <w:t xml:space="preserve"> </w:t>
      </w:r>
      <w:r>
        <w:t xml:space="preserve">(Q1 2026 came in at</w:t>
      </w:r>
      <w:r>
        <w:t xml:space="preserve"> </w:t>
      </w:r>
      <m:oMath>
        <m:r>
          <m:t>0.59</m:t>
        </m:r>
        <m:r>
          <m:t>v</m:t>
        </m:r>
        <m:r>
          <m:t>s</m:t>
        </m:r>
        <m:r>
          <m:rPr>
            <m:sty m:val="p"/>
          </m:rPr>
          <m:t>.</m:t>
        </m:r>
        <m:r>
          <m:t> </m:t>
        </m:r>
      </m:oMath>
      <w:r>
        <w:t xml:space="preserve">0.52 expected, a ~13% beat), so the bar for an in-line-to-slight-beat is arguably already priced.</w:t>
      </w:r>
    </w:p>
    <w:p>
      <w:pPr>
        <w:pStyle w:val="Compact"/>
        <w:numPr>
          <w:ilvl w:val="0"/>
          <w:numId w:val="1002"/>
        </w:numPr>
      </w:pPr>
      <w:r>
        <w:t xml:space="preserve">Full-year Street EPS sits around</w:t>
      </w:r>
      <w:r>
        <w:t xml:space="preserve"> </w:t>
      </w:r>
      <w:r>
        <w:rPr>
          <w:b/>
          <w:bCs/>
        </w:rPr>
        <w:t xml:space="preserve">$2.46</w:t>
      </w:r>
      <w:r>
        <w:t xml:space="preserve">, near the top of company guidance.</w:t>
      </w:r>
    </w:p>
    <w:p>
      <w:r>
        <w:pict>
          <v:rect style="width:0;height:1.5pt" o:hralign="center" o:hrstd="t" o:hr="t"/>
        </w:pict>
      </w:r>
    </w:p>
    <w:bookmarkEnd w:id="11"/>
    <w:bookmarkStart w:id="12" w:name="Xc0d81b9f49663efb45c47c5eb3786980d6fb53f"/>
    <w:p>
      <w:pPr>
        <w:pStyle w:val="Heading2"/>
      </w:pPr>
      <w:r>
        <w:t xml:space="preserve">Full-year 2026 guidance (reaffirmed at Q1) — the number that matters</w:t>
      </w:r>
    </w:p>
    <w:p>
      <w:pPr>
        <w:pStyle w:val="FirstParagraph"/>
      </w:pPr>
      <w:r>
        <w:t xml:space="preserve">At Q1, Viatris</w:t>
      </w:r>
      <w:r>
        <w:t xml:space="preserve"> </w:t>
      </w:r>
      <w:r>
        <w:rPr>
          <w:b/>
          <w:bCs/>
        </w:rPr>
        <w:t xml:space="preserve">reaffirmed</w:t>
      </w:r>
      <w:r>
        <w:t xml:space="preserve"> </w:t>
      </w:r>
      <w:r>
        <w:t xml:space="preserve">rather than raised, despite a strong start. The framework: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2026 Guidance</w:t>
            </w:r>
          </w:p>
        </w:tc>
        <w:tc>
          <w:tcPr/>
          <w:p>
            <w:pPr>
              <w:pStyle w:val="Compact"/>
            </w:pPr>
            <w:r>
              <w:t xml:space="preserve">Midpoint</w:t>
            </w:r>
          </w:p>
        </w:tc>
      </w:tr>
      <w:tr>
        <w:tc>
          <w:tcPr/>
          <w:p>
            <w:pPr>
              <w:pStyle w:val="Compact"/>
            </w:pPr>
            <w:r>
              <w:t xml:space="preserve">Total revenues</w:t>
            </w:r>
          </w:p>
        </w:tc>
        <w:tc>
          <w:tcPr/>
          <w:p>
            <w:pPr>
              <w:pStyle w:val="Compact"/>
            </w:pPr>
            <w:r>
              <w:t xml:space="preserve">$14.45B – $14.95B</w:t>
            </w:r>
          </w:p>
        </w:tc>
        <w:tc>
          <w:tcPr/>
          <w:p>
            <w:pPr>
              <w:pStyle w:val="Compact"/>
            </w:pPr>
            <w:r>
              <w:t xml:space="preserve">~$14.70B</w:t>
            </w:r>
          </w:p>
        </w:tc>
      </w:tr>
      <w:tr>
        <w:tc>
          <w:tcPr/>
          <w:p>
            <w:pPr>
              <w:pStyle w:val="Compact"/>
            </w:pPr>
            <w:r>
              <w:t xml:space="preserve">Adjusted EBITDA</w:t>
            </w:r>
          </w:p>
        </w:tc>
        <w:tc>
          <w:tcPr/>
          <w:p>
            <w:pPr>
              <w:pStyle w:val="Compact"/>
            </w:pPr>
            <w:r>
              <w:t xml:space="preserve">$4.15B – $4.45B</w:t>
            </w:r>
          </w:p>
        </w:tc>
        <w:tc>
          <w:tcPr/>
          <w:p>
            <w:pPr>
              <w:pStyle w:val="Compact"/>
            </w:pPr>
            <w:r>
              <w:t xml:space="preserve">~$4.30B</w:t>
            </w:r>
          </w:p>
        </w:tc>
      </w:tr>
      <w:tr>
        <w:tc>
          <w:tcPr/>
          <w:p>
            <w:pPr>
              <w:pStyle w:val="Compact"/>
            </w:pPr>
            <w:r>
              <w:t xml:space="preserve">Adjusted EPS</w:t>
            </w:r>
          </w:p>
        </w:tc>
        <w:tc>
          <w:tcPr/>
          <w:p>
            <w:pPr>
              <w:pStyle w:val="Compact"/>
            </w:pPr>
            <w:r>
              <w:t xml:space="preserve">$2.33 – $2.47</w:t>
            </w:r>
          </w:p>
        </w:tc>
        <w:tc>
          <w:tcPr/>
          <w:p>
            <w:pPr>
              <w:pStyle w:val="Compact"/>
            </w:pPr>
            <w:r>
              <w:t xml:space="preserve">~$2.40</w:t>
            </w:r>
          </w:p>
        </w:tc>
      </w:tr>
      <w:tr>
        <w:tc>
          <w:tcPr/>
          <w:p>
            <w:pPr>
              <w:pStyle w:val="Compact"/>
            </w:pPr>
            <w:r>
              <w:t xml:space="preserve">FCF (ex- transaction/restructuring)</w:t>
            </w:r>
          </w:p>
        </w:tc>
        <w:tc>
          <w:tcPr/>
          <w:p>
            <w:pPr>
              <w:pStyle w:val="Compact"/>
            </w:pPr>
            <w:r>
              <w:t xml:space="preserve">$1.95B – $2.35B</w:t>
            </w:r>
          </w:p>
        </w:tc>
        <w:tc>
          <w:tcPr/>
          <w:p>
            <w:pPr>
              <w:pStyle w:val="Compact"/>
            </w:pPr>
            <w:r>
              <w:t xml:space="preserve">~$2.15B</w:t>
            </w:r>
          </w:p>
        </w:tc>
      </w:tr>
    </w:tbl>
    <w:p>
      <w:pPr>
        <w:pStyle w:val="BodyText"/>
      </w:pPr>
      <w:r>
        <w:t xml:space="preserve">Guidance implies only ~2% growth off 2025 ($14.3B revenue / $4.2B EBITDA / $2.35 EPS), yet</w:t>
      </w:r>
      <w:r>
        <w:t xml:space="preserve"> </w:t>
      </w:r>
      <w:r>
        <w:rPr>
          <w:b/>
          <w:bCs/>
        </w:rPr>
        <w:t xml:space="preserve">Q1 already ran at +3% revenue / +10% EBITDA / +14% EPS operationally.</w:t>
      </w:r>
      <w:r>
        <w:t xml:space="preserve"> </w:t>
      </w:r>
      <w:r>
        <w:t xml:space="preserve">Management explicitly said it believes it is "well positioned to</w:t>
      </w:r>
      <w:r>
        <w:t xml:space="preserve"> </w:t>
      </w:r>
      <w:r>
        <w:rPr>
          <w:b/>
          <w:bCs/>
        </w:rPr>
        <w:t xml:space="preserve">meet or potentially exceed</w:t>
      </w:r>
      <w:r>
        <w:t xml:space="preserve">" the outlook, and raised its Greater China assumption to mid-to-high single digits (from low single digits).</w:t>
      </w:r>
      <w:r>
        <w:t xml:space="preserve"> </w:t>
      </w:r>
      <w:r>
        <w:rPr>
          <w:b/>
          <w:bCs/>
        </w:rPr>
        <w:t xml:space="preserve">The single biggest swing factor Wednesday is whether management raises FY guidance.</w:t>
      </w:r>
      <w:r>
        <w:t xml:space="preserve"> </w:t>
      </w:r>
      <w:r>
        <w:t xml:space="preserve">A reaffirm-only after another strong quarter could disappoint a stock that has run 40%+.</w:t>
      </w:r>
    </w:p>
    <w:p>
      <w:pPr>
        <w:pStyle w:val="BodyText"/>
      </w:pPr>
      <w:r>
        <w:rPr>
          <w:b/>
          <w:bCs/>
        </w:rPr>
        <w:t xml:space="preserve">Phasing note:</w:t>
      </w:r>
      <w:r>
        <w:t xml:space="preserve"> </w:t>
      </w:r>
      <w:r>
        <w:t xml:space="preserve">~52% of full-year revenue/EBITDA/EPS is weighted to H2, so a Q2 that looks only "in line" isn't necessarily a negative — new-product ramp and launches are back-half loaded.</w:t>
      </w:r>
    </w:p>
    <w:p>
      <w:r>
        <w:pict>
          <v:rect style="width:0;height:1.5pt" o:hralign="center" o:hrstd="t" o:hr="t"/>
        </w:pict>
      </w:r>
    </w:p>
    <w:bookmarkEnd w:id="12"/>
    <w:bookmarkStart w:id="13" w:name="key-debate-1-greater-china-durability"/>
    <w:p>
      <w:pPr>
        <w:pStyle w:val="Heading2"/>
      </w:pPr>
      <w:r>
        <w:t xml:space="preserve">Key debate #1: Greater China durability</w:t>
      </w:r>
    </w:p>
    <w:p>
      <w:pPr>
        <w:pStyle w:val="FirstParagraph"/>
      </w:pPr>
      <w:r>
        <w:t xml:space="preserve">China was the swing factor in Q1, growing</w:t>
      </w:r>
      <w:r>
        <w:t xml:space="preserve"> </w:t>
      </w:r>
      <w:r>
        <w:rPr>
          <w:b/>
          <w:bCs/>
        </w:rPr>
        <w:t xml:space="preserve">+18% operationally</w:t>
      </w:r>
      <w:r>
        <w:t xml:space="preserve"> </w:t>
      </w:r>
      <w:r>
        <w:t xml:space="preserve">(with e-commerce sales more than doubling) — well ahead of the initial ~3% full-year plan. Management attributes this to an aging population, cardiovascular demand, and years of investment in retail/e-commerce channels that de-risk exposure to hospital-based VBP (volume-based procurement) policy. Watch for:</w:t>
      </w:r>
    </w:p>
    <w:p>
      <w:pPr>
        <w:pStyle w:val="Compact"/>
        <w:numPr>
          <w:ilvl w:val="0"/>
          <w:numId w:val="1003"/>
        </w:numPr>
      </w:pPr>
      <w:r>
        <w:t xml:space="preserve">Whether the ~mid-to-high-single-digit pace held in Q2.</w:t>
      </w:r>
    </w:p>
    <w:p>
      <w:pPr>
        <w:pStyle w:val="Compact"/>
        <w:numPr>
          <w:ilvl w:val="0"/>
          <w:numId w:val="1003"/>
        </w:numPr>
      </w:pPr>
      <w:r>
        <w:t xml:space="preserve">Any commentary on</w:t>
      </w:r>
      <w:r>
        <w:t xml:space="preserve"> </w:t>
      </w:r>
      <w:r>
        <w:rPr>
          <w:b/>
          <w:bCs/>
        </w:rPr>
        <w:t xml:space="preserve">VBP/policy risk</w:t>
      </w:r>
      <w:r>
        <w:t xml:space="preserve"> </w:t>
      </w:r>
      <w:r>
        <w:t xml:space="preserve">— management insists there will be "no policy change this year," but this remains the most unpredictable variable in the model.</w:t>
      </w:r>
    </w:p>
    <w:bookmarkEnd w:id="13"/>
    <w:bookmarkStart w:id="14" w:name="X5491f0baa4aac27081f8905cf8e6d81a5e2ed42"/>
    <w:p>
      <w:pPr>
        <w:pStyle w:val="Heading2"/>
      </w:pPr>
      <w:r>
        <w:t xml:space="preserve">Key debate #2: the pipeline / launch scorecard</w:t>
      </w:r>
    </w:p>
    <w:p>
      <w:pPr>
        <w:pStyle w:val="FirstParagraph"/>
      </w:pPr>
      <w:r>
        <w:t xml:space="preserve">This is a heavy catalyst year (6 regulatory decisions targeted). Status check going into the print:</w:t>
      </w:r>
    </w:p>
    <w:p>
      <w:pPr>
        <w:pStyle w:val="Compact"/>
        <w:numPr>
          <w:ilvl w:val="0"/>
          <w:numId w:val="1004"/>
        </w:numPr>
      </w:pPr>
      <w:r>
        <w:rPr>
          <w:b/>
          <w:bCs/>
        </w:rPr>
        <w:t xml:space="preserve">Gwyn Lo (low-dose estrogen weekly contraceptive patch, fka "XULANE LO")</w:t>
      </w:r>
      <w:r>
        <w:t xml:space="preserve"> </w:t>
      </w:r>
      <w:r>
        <w:t xml:space="preserve">— ✅</w:t>
      </w:r>
      <w:r>
        <w:t xml:space="preserve"> </w:t>
      </w:r>
      <w:r>
        <w:rPr>
          <w:b/>
          <w:bCs/>
        </w:rPr>
        <w:t xml:space="preserve">APPROVED July 29, 2026</w:t>
      </w:r>
      <w:r>
        <w:t xml:space="preserve">, on the July 30 PDUFA date. Commercial availability expected later this year. Watch for launch timing, sales-force sizing (~70 reps for women's health), and pricing color.</w:t>
      </w:r>
    </w:p>
    <w:p>
      <w:pPr>
        <w:pStyle w:val="Compact"/>
        <w:numPr>
          <w:ilvl w:val="0"/>
          <w:numId w:val="1004"/>
        </w:numPr>
      </w:pPr>
      <w:r>
        <w:rPr>
          <w:b/>
          <w:bCs/>
        </w:rPr>
        <w:t xml:space="preserve">Fast-acting meloxicam</w:t>
      </w:r>
      <w:r>
        <w:t xml:space="preserve"> </w:t>
      </w:r>
      <w:r>
        <w:t xml:space="preserve">(acute pain, opioid-sparing) — NDA accepted; a</w:t>
      </w:r>
      <w:r>
        <w:t xml:space="preserve"> </w:t>
      </w:r>
      <w:r>
        <w:rPr>
          <w:b/>
          <w:bCs/>
        </w:rPr>
        <w:t xml:space="preserve">PDUFA date was still pending FDA confirmation</w:t>
      </w:r>
      <w:r>
        <w:t xml:space="preserve"> </w:t>
      </w:r>
      <w:r>
        <w:t xml:space="preserve">at Q1. Any update on the goal date and label (opioid-sparing language placement) is a key watch item. Management frames it as a launch for 2027 and a contributor "into the early 2030s." Sales force ~150–200 reps, specialty/post-op focus.</w:t>
      </w:r>
    </w:p>
    <w:p>
      <w:pPr>
        <w:pStyle w:val="Compact"/>
        <w:numPr>
          <w:ilvl w:val="0"/>
          <w:numId w:val="1004"/>
        </w:numPr>
      </w:pPr>
      <w:r>
        <w:rPr>
          <w:b/>
          <w:bCs/>
        </w:rPr>
        <w:t xml:space="preserve">Phentolamine ophthalmic (presbyopia)</w:t>
      </w:r>
      <w:r>
        <w:t xml:space="preserve"> </w:t>
      </w:r>
      <w:r>
        <w:t xml:space="preserve">— PDUFA Oct 17, 2026.</w:t>
      </w:r>
    </w:p>
    <w:p>
      <w:pPr>
        <w:pStyle w:val="Compact"/>
        <w:numPr>
          <w:ilvl w:val="0"/>
          <w:numId w:val="1004"/>
        </w:numPr>
      </w:pPr>
      <w:r>
        <w:rPr>
          <w:b/>
          <w:bCs/>
        </w:rPr>
        <w:t xml:space="preserve">Japan:</w:t>
      </w:r>
      <w:r>
        <w:t xml:space="preserve"> </w:t>
      </w:r>
      <w:r>
        <w:t xml:space="preserve">Effexor for GAD already approved (March);</w:t>
      </w:r>
      <w:r>
        <w:t xml:space="preserve"> </w:t>
      </w:r>
      <w:r>
        <w:rPr>
          <w:b/>
          <w:bCs/>
        </w:rPr>
        <w:t xml:space="preserve">pitolisant</w:t>
      </w:r>
      <w:r>
        <w:t xml:space="preserve"> </w:t>
      </w:r>
      <w:r>
        <w:t xml:space="preserve">decisions expected 2H;</w:t>
      </w:r>
      <w:r>
        <w:t xml:space="preserve"> </w:t>
      </w:r>
      <w:r>
        <w:rPr>
          <w:b/>
          <w:bCs/>
        </w:rPr>
        <w:t xml:space="preserve">Nefecon</w:t>
      </w:r>
      <w:r>
        <w:t xml:space="preserve"> </w:t>
      </w:r>
      <w:r>
        <w:t xml:space="preserve">(IgA nephropathy) top-line readout expected 1H 2026 — watch for this data.</w:t>
      </w:r>
    </w:p>
    <w:p>
      <w:pPr>
        <w:pStyle w:val="Compact"/>
        <w:numPr>
          <w:ilvl w:val="0"/>
          <w:numId w:val="1004"/>
        </w:numPr>
      </w:pPr>
      <w:r>
        <w:rPr>
          <w:b/>
          <w:bCs/>
        </w:rPr>
        <w:t xml:space="preserve">Complex generics:</w:t>
      </w:r>
      <w:r>
        <w:t xml:space="preserve"> </w:t>
      </w:r>
      <w:r>
        <w:t xml:space="preserve">decisions expected this year on ferric carboxymaltose and rotigotine patch;</w:t>
      </w:r>
      <w:r>
        <w:t xml:space="preserve"> </w:t>
      </w:r>
      <w:r>
        <w:rPr>
          <w:b/>
          <w:bCs/>
        </w:rPr>
        <w:t xml:space="preserve">generic Abilify Maintena</w:t>
      </w:r>
      <w:r>
        <w:t xml:space="preserve"> </w:t>
      </w:r>
      <w:r>
        <w:t xml:space="preserve">approved and slated to launch in the U.S. before year-end.</w:t>
      </w:r>
    </w:p>
    <w:p>
      <w:pPr>
        <w:pStyle w:val="Compact"/>
        <w:numPr>
          <w:ilvl w:val="0"/>
          <w:numId w:val="1004"/>
        </w:numPr>
      </w:pPr>
      <w:r>
        <w:rPr>
          <w:b/>
          <w:bCs/>
        </w:rPr>
        <w:t xml:space="preserve">Longer-term innovative:</w:t>
      </w:r>
      <w:r>
        <w:t xml:space="preserve"> </w:t>
      </w:r>
      <w:r>
        <w:t xml:space="preserve">selatogrel (SOS-AMI) on track for full enrollment by end-2026 (~1,200 pts/month); cenerimod (SLE, OPUS-1/2) fully enrolled, data 1H 2027. These are 2027+ readouts but define the growth story.</w:t>
      </w:r>
    </w:p>
    <w:p>
      <w:pPr>
        <w:pStyle w:val="Compact"/>
        <w:numPr>
          <w:ilvl w:val="0"/>
          <w:numId w:val="1004"/>
        </w:numPr>
      </w:pPr>
      <w:r>
        <w:rPr>
          <w:b/>
          <w:bCs/>
        </w:rPr>
        <w:t xml:space="preserve">New product revenue:</w:t>
      </w:r>
      <w:r>
        <w:t xml:space="preserve"> </w:t>
      </w:r>
      <w:r>
        <w:t xml:space="preserve">tracking to the</w:t>
      </w:r>
      <w:r>
        <w:t xml:space="preserve"> </w:t>
      </w:r>
      <m:oMath>
        <m:r>
          <m:t>450</m:t>
        </m:r>
        <m:r>
          <m:t>M</m:t>
        </m:r>
        <m:r>
          <m:rPr>
            <m:sty m:val="p"/>
          </m:rPr>
          <m:t>–</m:t>
        </m:r>
      </m:oMath>
      <w:r>
        <w:rPr>
          <w:b/>
          <w:bCs/>
        </w:rPr>
        <w:t xml:space="preserve">550M</w:t>
      </w:r>
      <w:r>
        <w:t xml:space="preserve"> </w:t>
      </w:r>
      <w:r>
        <w:t xml:space="preserve">full-year target; only $71M booked in Q1, so the ramp is heavily back-half — watch the Q2 figure to confirm the trajectory.</w:t>
      </w:r>
    </w:p>
    <w:bookmarkEnd w:id="14"/>
    <w:bookmarkStart w:id="15" w:name="key-debate-3-cost-out-and-margins"/>
    <w:p>
      <w:pPr>
        <w:pStyle w:val="Heading2"/>
      </w:pPr>
      <w:r>
        <w:t xml:space="preserve">Key debate #3: cost-out and margins</w:t>
      </w:r>
    </w:p>
    <w:p>
      <w:pPr>
        <w:pStyle w:val="FirstParagraph"/>
      </w:pPr>
      <w:r>
        <w:t xml:space="preserve">The enterprise-wide strategic review (EWSR) targets</w:t>
      </w:r>
      <w:r>
        <w:t xml:space="preserve"> </w:t>
      </w:r>
      <w:r>
        <w:rPr>
          <w:b/>
          <w:bCs/>
        </w:rPr>
        <w:t xml:space="preserve">~</w:t>
      </w:r>
      <m:oMath>
        <m:r>
          <m:t>650</m:t>
        </m:r>
        <m:r>
          <m:t>M</m:t>
        </m:r>
        <m:r>
          <m:t>g</m:t>
        </m:r>
        <m:r>
          <m:t>r</m:t>
        </m:r>
        <m:r>
          <m:t>o</m:t>
        </m:r>
        <m:r>
          <m:t>s</m:t>
        </m:r>
        <m:r>
          <m:t>s</m:t>
        </m:r>
        <m:r>
          <m:rPr>
            <m:sty m:val="p"/>
          </m:rPr>
          <m:t>/</m:t>
        </m:r>
        <m:r>
          <m:t> </m:t>
        </m:r>
      </m:oMath>
      <w:r>
        <w:rPr>
          <w:b/>
          <w:bCs/>
        </w:rPr>
        <w:t xml:space="preserve">400M net savings over three years</w:t>
      </w:r>
      <w:r>
        <w:t xml:space="preserve"> </w:t>
      </w:r>
      <w:r>
        <w:t xml:space="preserve">(~50% headcount, up to ~10% workforce reduction), phased ~30% in 2026, ~30% in 2027, ~40% in 2028. Q1 already showed the operating leverage (3% revenue → 10% EBITDA growth). Watch for confirmation that ~$120M of 2026 savings remains on track and any updated margin trajectory commentary for 2027–28.</w:t>
      </w:r>
    </w:p>
    <w:p>
      <w:r>
        <w:pict>
          <v:rect style="width:0;height:1.5pt" o:hralign="center" o:hrstd="t" o:hr="t"/>
        </w:pict>
      </w:r>
    </w:p>
    <w:bookmarkEnd w:id="15"/>
    <w:bookmarkStart w:id="16" w:name="other-items-to-watch"/>
    <w:p>
      <w:pPr>
        <w:pStyle w:val="Heading2"/>
      </w:pPr>
      <w:r>
        <w:t xml:space="preserve">Other items to watch</w:t>
      </w:r>
    </w:p>
    <w:p>
      <w:pPr>
        <w:pStyle w:val="Compact"/>
        <w:numPr>
          <w:ilvl w:val="0"/>
          <w:numId w:val="1005"/>
        </w:numPr>
      </w:pPr>
      <w:r>
        <w:rPr>
          <w:b/>
          <w:bCs/>
        </w:rPr>
        <w:t xml:space="preserve">CFO transition:</w:t>
      </w:r>
      <w:r>
        <w:t xml:space="preserve"> </w:t>
      </w:r>
      <w:r>
        <w:t xml:space="preserve">Doretta Mistras departed;</w:t>
      </w:r>
      <w:r>
        <w:t xml:space="preserve"> </w:t>
      </w:r>
      <w:r>
        <w:rPr>
          <w:b/>
          <w:bCs/>
        </w:rPr>
        <w:t xml:space="preserve">Paul Campbell is interim CFO</w:t>
      </w:r>
      <w:r>
        <w:t xml:space="preserve"> </w:t>
      </w:r>
      <w:r>
        <w:t xml:space="preserve">(long-tenured Chief Accounting Officer). Management says no change to capital allocation or financial policy — watch for any update on a permanent CFO search.</w:t>
      </w:r>
    </w:p>
    <w:p>
      <w:pPr>
        <w:pStyle w:val="Compact"/>
        <w:numPr>
          <w:ilvl w:val="0"/>
          <w:numId w:val="1005"/>
        </w:numPr>
      </w:pPr>
      <w:r>
        <w:rPr>
          <w:b/>
          <w:bCs/>
        </w:rPr>
        <w:t xml:space="preserve">Capital allocation / BD:</w:t>
      </w:r>
      <w:r>
        <w:t xml:space="preserve"> </w:t>
      </w:r>
      <w:r>
        <w:t xml:space="preserve">&gt;$2.5B of cash available for deployment in 2026. The</w:t>
      </w:r>
      <w:r>
        <w:t xml:space="preserve"> </w:t>
      </w:r>
      <m:oMath>
        <m:r>
          <m:t>0.12</m:t>
        </m:r>
        <m:r>
          <m:rPr>
            <m:sty m:val="p"/>
          </m:rPr>
          <m:t>/</m:t>
        </m:r>
        <m:r>
          <m:t>s</m:t>
        </m:r>
        <m:r>
          <m:t>h</m:t>
        </m:r>
        <m:r>
          <m:t>a</m:t>
        </m:r>
        <m:r>
          <m:t>r</m:t>
        </m:r>
        <m:r>
          <m:t>e</m:t>
        </m:r>
        <m:r>
          <m:t>q</m:t>
        </m:r>
        <m:r>
          <m:t>u</m:t>
        </m:r>
        <m:r>
          <m:t>a</m:t>
        </m:r>
        <m:r>
          <m:t>r</m:t>
        </m:r>
        <m:r>
          <m:t>t</m:t>
        </m:r>
        <m:r>
          <m:t>e</m:t>
        </m:r>
        <m:r>
          <m:t>r</m:t>
        </m:r>
        <m:r>
          <m:t>l</m:t>
        </m:r>
        <m:r>
          <m:t>y</m:t>
        </m:r>
        <m:r>
          <m:t>d</m:t>
        </m:r>
        <m:r>
          <m:t>i</m:t>
        </m:r>
        <m:r>
          <m:t>v</m:t>
        </m:r>
        <m:r>
          <m:t>i</m:t>
        </m:r>
        <m:r>
          <m:t>d</m:t>
        </m:r>
        <m:r>
          <m:t>e</m:t>
        </m:r>
        <m:r>
          <m:t>n</m:t>
        </m:r>
        <m:r>
          <m:t>d</m:t>
        </m:r>
        <m:r>
          <m:t>w</m:t>
        </m:r>
        <m:r>
          <m:t>a</m:t>
        </m:r>
        <m:r>
          <m:t>s</m:t>
        </m:r>
        <m:r>
          <m:rPr>
            <m:sty m:val="p"/>
          </m:rPr>
          <m:t>*</m:t>
        </m:r>
        <m:r>
          <m:rPr>
            <m:sty m:val="p"/>
          </m:rPr>
          <m:t>*</m:t>
        </m:r>
        <m:r>
          <m:t>r</m:t>
        </m:r>
        <m:r>
          <m:t>e</m:t>
        </m:r>
        <m:r>
          <m:rPr>
            <m:sty m:val="p"/>
          </m:rPr>
          <m:t>−</m:t>
        </m:r>
        <m:r>
          <m:t>d</m:t>
        </m:r>
        <m:r>
          <m:t>e</m:t>
        </m:r>
        <m:r>
          <m:t>c</m:t>
        </m:r>
        <m:r>
          <m:t>l</m:t>
        </m:r>
        <m:r>
          <m:t>a</m:t>
        </m:r>
        <m:r>
          <m:t>r</m:t>
        </m:r>
        <m:r>
          <m:t>e</m:t>
        </m:r>
        <m:r>
          <m:t>d</m:t>
        </m:r>
        <m:r>
          <m:t>A</m:t>
        </m:r>
        <m:r>
          <m:t>u</m:t>
        </m:r>
        <m:r>
          <m:t>g</m:t>
        </m:r>
        <m:r>
          <m:t>3</m:t>
        </m:r>
        <m:r>
          <m:rPr>
            <m:sty m:val="p"/>
          </m:rPr>
          <m:t>*</m:t>
        </m:r>
        <m:r>
          <m:rPr>
            <m:sty m:val="p"/>
          </m:rPr>
          <m:t>*</m:t>
        </m:r>
        <m:r>
          <m:rPr>
            <m:sty m:val="p"/>
          </m:rPr>
          <m:t>(</m:t>
        </m:r>
        <m:r>
          <m:t> </m:t>
        </m:r>
      </m:oMath>
      <w:r>
        <w:t xml:space="preserve">0.48/yr policy). Management has signaled an active BD pipeline focused on</w:t>
      </w:r>
      <w:r>
        <w:t xml:space="preserve"> </w:t>
      </w:r>
      <w:r>
        <w:rPr>
          <w:b/>
          <w:bCs/>
        </w:rPr>
        <w:t xml:space="preserve">in-market, accretive assets</w:t>
      </w:r>
      <w:r>
        <w:t xml:space="preserve"> </w:t>
      </w:r>
      <w:r>
        <w:t xml:space="preserve">— a deal announcement is a plausible near-term catalyst. Share count is drifting lower on buybacks (~1,175M diluted vs. ~1,203M a year ago).</w:t>
      </w:r>
    </w:p>
    <w:p>
      <w:pPr>
        <w:pStyle w:val="Compact"/>
        <w:numPr>
          <w:ilvl w:val="0"/>
          <w:numId w:val="1005"/>
        </w:numPr>
      </w:pPr>
      <w:r>
        <w:rPr>
          <w:b/>
          <w:bCs/>
        </w:rPr>
        <w:t xml:space="preserve">Balance sheet:</w:t>
      </w:r>
      <w:r>
        <w:t xml:space="preserve"> </w:t>
      </w:r>
      <w:r>
        <w:t xml:space="preserve">recent refinancing activity (€650M notes offering, ¥40B term loan) to address 2026 maturities; targeting gross leverage back to 2.8x–3.2x. Cash ~</w:t>
      </w:r>
      <m:oMath>
        <m:r>
          <m:t>1.8</m:t>
        </m:r>
        <m:r>
          <m:t>B</m:t>
        </m:r>
        <m:r>
          <m:rPr>
            <m:sty m:val="p"/>
          </m:rPr>
          <m:t>;</m:t>
        </m:r>
        <m:r>
          <m:t>l</m:t>
        </m:r>
        <m:r>
          <m:t>o</m:t>
        </m:r>
        <m:r>
          <m:t>n</m:t>
        </m:r>
        <m:r>
          <m:t>g</m:t>
        </m:r>
        <m:r>
          <m:rPr>
            <m:sty m:val="p"/>
          </m:rPr>
          <m:t>−</m:t>
        </m:r>
        <m:r>
          <m:t>t</m:t>
        </m:r>
        <m:r>
          <m:t>e</m:t>
        </m:r>
        <m:r>
          <m:t>r</m:t>
        </m:r>
        <m:r>
          <m:t>m</m:t>
        </m:r>
        <m:r>
          <m:t>d</m:t>
        </m:r>
        <m:r>
          <m:t>e</m:t>
        </m:r>
        <m:r>
          <m:t>b</m:t>
        </m:r>
        <m:r>
          <m:t>t</m:t>
        </m:r>
        <m:r>
          <m:t> </m:t>
        </m:r>
      </m:oMath>
      <w:r>
        <w:t xml:space="preserve">12.4B.</w:t>
      </w:r>
    </w:p>
    <w:p>
      <w:pPr>
        <w:pStyle w:val="Compact"/>
        <w:numPr>
          <w:ilvl w:val="0"/>
          <w:numId w:val="1005"/>
        </w:numPr>
      </w:pPr>
      <w:r>
        <w:rPr>
          <w:b/>
          <w:bCs/>
        </w:rPr>
        <w:t xml:space="preserve">Supply/manufacturing overhangs:</w:t>
      </w:r>
      <w:r>
        <w:t xml:space="preserve"> </w:t>
      </w:r>
      <w:r>
        <w:t xml:space="preserve">(1)</w:t>
      </w:r>
      <w:r>
        <w:t xml:space="preserve"> </w:t>
      </w:r>
      <w:r>
        <w:rPr>
          <w:b/>
          <w:bCs/>
        </w:rPr>
        <w:t xml:space="preserve">ARV supply constraints</w:t>
      </w:r>
      <w:r>
        <w:t xml:space="preserve"> </w:t>
      </w:r>
      <w:r>
        <w:t xml:space="preserve">in Emerging Markets dragged Q1 (segment flat vs. plan) — watch for recovery; (2) the</w:t>
      </w:r>
      <w:r>
        <w:t xml:space="preserve"> </w:t>
      </w:r>
      <w:r>
        <w:rPr>
          <w:b/>
          <w:bCs/>
        </w:rPr>
        <w:t xml:space="preserve">Nashik plant fire</w:t>
      </w:r>
      <w:r>
        <w:t xml:space="preserve"> </w:t>
      </w:r>
      <w:r>
        <w:t xml:space="preserve">drove a ~$72M inventory/asset write-off in Q1, with operations resuming in April — watch for residual impact; (3) the</w:t>
      </w:r>
      <w:r>
        <w:t xml:space="preserve"> </w:t>
      </w:r>
      <w:r>
        <w:rPr>
          <w:b/>
          <w:bCs/>
        </w:rPr>
        <w:t xml:space="preserve">Indore FDA reinspection</w:t>
      </w:r>
      <w:r>
        <w:t xml:space="preserve"> </w:t>
      </w:r>
      <w:r>
        <w:t xml:space="preserve">timing remains at the agency's discretion (management says impact is fully remediated/baked in).</w:t>
      </w:r>
    </w:p>
    <w:p>
      <w:pPr>
        <w:pStyle w:val="Compact"/>
        <w:numPr>
          <w:ilvl w:val="0"/>
          <w:numId w:val="1005"/>
        </w:numPr>
      </w:pPr>
      <w:r>
        <w:rPr>
          <w:b/>
          <w:bCs/>
        </w:rPr>
        <w:t xml:space="preserve">Tariffs:</w:t>
      </w:r>
      <w:r>
        <w:t xml:space="preserve"> </w:t>
      </w:r>
      <w:r>
        <w:t xml:space="preserve">With major manufacturing in India and China, any tariff/trade-policy commentary is a risk item worth monitoring.</w:t>
      </w:r>
    </w:p>
    <w:bookmarkEnd w:id="16"/>
    <w:bookmarkStart w:id="17" w:name="X7a8d35717ac4619e330a832ece29f6c4c4adb40"/>
    <w:p>
      <w:pPr>
        <w:pStyle w:val="Heading2"/>
      </w:pPr>
      <w:r>
        <w:t xml:space="preserve">Segment expectations (framework from FY guidance)</w:t>
      </w:r>
    </w:p>
    <w:p>
      <w:pPr>
        <w:pStyle w:val="Compact"/>
        <w:numPr>
          <w:ilvl w:val="0"/>
          <w:numId w:val="1006"/>
        </w:numPr>
      </w:pPr>
      <w:r>
        <w:rPr>
          <w:b/>
          <w:bCs/>
        </w:rPr>
        <w:t xml:space="preserve">Developed Markets</w:t>
      </w:r>
      <w:r>
        <w:t xml:space="preserve"> </w:t>
      </w:r>
      <w:r>
        <w:t xml:space="preserve">~+2% (Europe ~+4% on apixaban/paliperidone, Creon, Italy/France; North America ~flat as complex-generic launches and Breyna/estradiol offset LOEs)</w:t>
      </w:r>
    </w:p>
    <w:p>
      <w:pPr>
        <w:pStyle w:val="Compact"/>
        <w:numPr>
          <w:ilvl w:val="0"/>
          <w:numId w:val="1006"/>
        </w:numPr>
      </w:pPr>
      <w:r>
        <w:rPr>
          <w:b/>
          <w:bCs/>
        </w:rPr>
        <w:t xml:space="preserve">Emerging Markets</w:t>
      </w:r>
      <w:r>
        <w:t xml:space="preserve"> </w:t>
      </w:r>
      <w:r>
        <w:t xml:space="preserve">~+6% target (Turkey/Mexico/India/Brazil), pending ARV supply recovery</w:t>
      </w:r>
    </w:p>
    <w:p>
      <w:pPr>
        <w:pStyle w:val="Compact"/>
        <w:numPr>
          <w:ilvl w:val="0"/>
          <w:numId w:val="1006"/>
        </w:numPr>
      </w:pPr>
      <w:r>
        <w:rPr>
          <w:b/>
          <w:bCs/>
        </w:rPr>
        <w:t xml:space="preserve">JANZ</w:t>
      </w:r>
      <w:r>
        <w:t xml:space="preserve"> </w:t>
      </w:r>
      <w:r>
        <w:t xml:space="preserve">declining (Japan/Australia price regulation +</w:t>
      </w:r>
      <w:r>
        <w:t xml:space="preserve"> </w:t>
      </w:r>
      <w:r>
        <w:rPr>
          <w:b/>
          <w:bCs/>
        </w:rPr>
        <w:t xml:space="preserve">Amitiza mid-year LOE</w:t>
      </w:r>
      <w:r>
        <w:t xml:space="preserve">), though Q1 came in above plan</w:t>
      </w:r>
    </w:p>
    <w:p>
      <w:pPr>
        <w:pStyle w:val="Compact"/>
        <w:numPr>
          <w:ilvl w:val="0"/>
          <w:numId w:val="1006"/>
        </w:numPr>
      </w:pPr>
      <w:r>
        <w:rPr>
          <w:b/>
          <w:bCs/>
        </w:rPr>
        <w:t xml:space="preserve">Greater China</w:t>
      </w:r>
      <w:r>
        <w:t xml:space="preserve"> </w:t>
      </w:r>
      <w:r>
        <w:t xml:space="preserve">— now the key upside driver</w:t>
      </w:r>
    </w:p>
    <w:p>
      <w:r>
        <w:pict>
          <v:rect style="width:0;height:1.5pt" o:hralign="center" o:hrstd="t" o:hr="t"/>
        </w:pict>
      </w:r>
    </w:p>
    <w:bookmarkEnd w:id="17"/>
    <w:bookmarkStart w:id="18" w:name="bottom-line-for-investors"/>
    <w:p>
      <w:pPr>
        <w:pStyle w:val="Heading2"/>
      </w:pPr>
      <w:r>
        <w:t xml:space="preserve">Bottom line for investors</w:t>
      </w:r>
    </w:p>
    <w:p>
      <w:pPr>
        <w:pStyle w:val="FirstParagraph"/>
      </w:pPr>
      <w:r>
        <w:t xml:space="preserve">The fundamentals are pointed the right way: a stabilized-and-growing base, real EBITDA leverage from cost-out, a de-risked Gwyn Lo approval in hand, and ample cash for BD and buybacks.</w:t>
      </w:r>
      <w:r>
        <w:t xml:space="preserve"> </w:t>
      </w:r>
      <w:r>
        <w:rPr>
          <w:b/>
          <w:bCs/>
        </w:rPr>
        <w:t xml:space="preserve">But the stock has already rallied ~40% YTD and sits near highs, and the Street EPS is near the top of guidance</w:t>
      </w:r>
      <w:r>
        <w:t xml:space="preserve"> </w:t>
      </w:r>
      <w:r>
        <w:t xml:space="preserve">— meaning the market is leaning toward an eventual guidance raise. The most important tells on August 6:</w:t>
      </w:r>
    </w:p>
    <w:p>
      <w:pPr>
        <w:pStyle w:val="Compact"/>
        <w:numPr>
          <w:ilvl w:val="0"/>
          <w:numId w:val="1007"/>
        </w:numPr>
      </w:pPr>
      <w:r>
        <w:rPr>
          <w:b/>
          <w:bCs/>
        </w:rPr>
        <w:t xml:space="preserve">Does management raise (not just reaffirm) FY2026 guidance?</w:t>
      </w:r>
      <w:r>
        <w:t xml:space="preserve"> </w:t>
      </w:r>
      <w:r>
        <w:t xml:space="preserve">A reaffirm-only is the key risk to a richly-priced stock.</w:t>
      </w:r>
    </w:p>
    <w:p>
      <w:pPr>
        <w:pStyle w:val="Compact"/>
        <w:numPr>
          <w:ilvl w:val="0"/>
          <w:numId w:val="1007"/>
        </w:numPr>
      </w:pPr>
      <w:r>
        <w:rPr>
          <w:b/>
          <w:bCs/>
        </w:rPr>
        <w:t xml:space="preserve">Did China stay hot</w:t>
      </w:r>
      <w:r>
        <w:t xml:space="preserve">, and how confident is management on 2H policy risk?</w:t>
      </w:r>
    </w:p>
    <w:p>
      <w:pPr>
        <w:pStyle w:val="Compact"/>
        <w:numPr>
          <w:ilvl w:val="0"/>
          <w:numId w:val="1007"/>
        </w:numPr>
      </w:pPr>
      <w:r>
        <w:rPr>
          <w:b/>
          <w:bCs/>
        </w:rPr>
        <w:t xml:space="preserve">Meloxicam PDUFA date + Gwyn Lo launch specifics</w:t>
      </w:r>
      <w:r>
        <w:t xml:space="preserve"> </w:t>
      </w:r>
      <w:r>
        <w:t xml:space="preserve">— the near-term pipeline proof points.</w:t>
      </w:r>
    </w:p>
    <w:p>
      <w:pPr>
        <w:pStyle w:val="Compact"/>
        <w:numPr>
          <w:ilvl w:val="0"/>
          <w:numId w:val="1007"/>
        </w:numPr>
      </w:pPr>
      <w:r>
        <w:rPr>
          <w:b/>
          <w:bCs/>
        </w:rPr>
        <w:t xml:space="preserve">New-product revenue ramp</w:t>
      </w:r>
      <w:r>
        <w:t xml:space="preserve"> </w:t>
      </w:r>
      <w:r>
        <w:t xml:space="preserve">toward the $450–550M target, plus any BD or permanent-CFO news.</w:t>
      </w:r>
    </w:p>
    <w:p>
      <w:pPr>
        <w:pStyle w:val="FirstParagraph"/>
      </w:pPr>
      <w:r>
        <w:rPr>
          <w:i/>
          <w:iCs/>
        </w:rPr>
        <w:t xml:space="preserve">Note: figures above combine Viatris's Q1 2026 release/call and FY2026 guidance with third-party consensus estimates and press reports (Gwyn Lo approval, Aug 3 dividend). Company-reported adjusted metrics are non-GAAP.</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2026-08-06T00:22:42Z</dcterms:created>
  <dcterms:modified xsi:type="dcterms:W3CDTF">2026-08-06T00:22:42Z</dcterms:modified>
</cp:coreProperties>
</file>

<file path=docProps/custom.xml><?xml version="1.0" encoding="utf-8"?>
<Properties xmlns="http://schemas.openxmlformats.org/officeDocument/2006/custom-properties" xmlns:vt="http://schemas.openxmlformats.org/officeDocument/2006/docPropsVTypes"/>
</file>