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viatris-vtrs-q2-2026-earnings-preview"/>
    <w:p>
      <w:pPr>
        <w:pStyle w:val="Heading1"/>
      </w:pPr>
      <w:r>
        <w:t xml:space="preserve">Viatris (VTRS)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Thursday, August 6, 2026 (before market open)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8:30 a.m. ET</w:t>
      </w:r>
    </w:p>
    <w:p>
      <w:r>
        <w:pict>
          <v:rect style="width:0;height:1.5pt" o:hralign="center" o:hrstd="t" o:hr="t"/>
        </w:pict>
      </w:r>
    </w:p>
    <w:bookmarkStart w:id="9" w:name="X949bd4f4089bbaccce539b2bd28d75b85935b6a"/>
    <w:p>
      <w:pPr>
        <w:pStyle w:val="Heading2"/>
      </w:pPr>
      <w:r>
        <w:t xml:space="preserve">1. Setup Into the Print</w:t>
      </w:r>
    </w:p>
    <w:p>
      <w:pPr>
        <w:pStyle w:val="FirstParagraph"/>
      </w:pPr>
      <w:r>
        <w:t xml:space="preserve">VTRS shares have run up meaningfully since the Q1 report, rising from roughly $15 in early May to around $17.6-17.7 today, helped by a clean Q1 beat, a positive FDA approval right before earnings, and a string of sell-side price target increases (Barclays to $22, UBS to $20, JPMorgan to $18). Expectations are now higher heading into Q2, which raises the bar for what counts as a "good" quarter.</w:t>
      </w:r>
    </w:p>
    <w:p>
      <w:pPr>
        <w:pStyle w:val="BodyText"/>
      </w:pPr>
      <w:r>
        <w:t xml:space="preserve">Street estimates are roughly centered on</w:t>
      </w:r>
      <w:r>
        <w:t xml:space="preserve"> </w:t>
      </w:r>
      <w:r>
        <w:rPr>
          <w:b/>
          <w:bCs/>
        </w:rPr>
        <w:t xml:space="preserve">~</w:t>
      </w:r>
      <m:oMath>
        <m:r>
          <m:t>3.5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a</m:t>
        </m:r>
        <m:r>
          <m:t>n</m:t>
        </m:r>
        <m:r>
          <m:t>d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</m:oMath>
      <w:r>
        <w:rPr>
          <w:b/>
          <w:bCs/>
        </w:rPr>
        <w:t xml:space="preserve">0.50s</w:t>
      </w:r>
      <w:r>
        <w:t xml:space="preserve"> </w:t>
      </w:r>
      <w:r>
        <w:t xml:space="preserve">for the quarter, consistent with management's own guidance phasing (revenue and earnings are expected to skew toward the second half of the year).</w:t>
      </w:r>
    </w:p>
    <w:bookmarkEnd w:id="9"/>
    <w:bookmarkStart w:id="10" w:name="X44e51fdd337537a2d2df6294977395e1d73427b"/>
    <w:p>
      <w:pPr>
        <w:pStyle w:val="Heading2"/>
      </w:pPr>
      <w:r>
        <w:t xml:space="preserve">2. What Happened Last Quarter (the Baseline)</w:t>
      </w:r>
    </w:p>
    <w:p>
      <w:pPr>
        <w:pStyle w:val="FirstParagraph"/>
      </w:pPr>
      <w:r>
        <w:t xml:space="preserve">Q1 2026 was a strong, "clean" quarter that reset investor confidence. Viatris delivered total revenues of $3.5 billion, representing 8% reported growth compared to first quarter 2025, and U.S. GAAP net earnings of $176 million, with total revenues up 3% operationally and adjusted EBITDA up 10% operationally, demonstrating solid operating leverage. Adjusted EPS was $0.59 per share, up 18% on a reported basis and up 14% on an operational basis compared to the first quarter of 2025.</w:t>
      </w:r>
    </w:p>
    <w:p>
      <w:pPr>
        <w:pStyle w:val="BodyText"/>
      </w:pPr>
      <w:r>
        <w:t xml:space="preserve">The standout driver was China: the company delivered a very strong quarter in Greater China with growth accelerating ahead of expectations at 18% year-over-year, driven by favorable market fundamentals, cumulative selling and marketing investments, and growth across all channels, with e-commerce sales more than doubling versus the prior year. Management raised its internal China growth expectation for the year — from low-single digits at the start of the year to now mid- to high-single-digit growth in China, while flagging that policy risk remains dynamic and unpredictable. By contrast, Europe net sales declined about 1% due to softer market conditions, competitive pressure on Dymista and supply constraints, while emerging markets were flat, held back by supply constraints in the lower-margin ARV portfolio, and JANZ fell about 2% on competition in Australia and Japanese price regulation.</w:t>
      </w:r>
    </w:p>
    <w:p>
      <w:pPr>
        <w:pStyle w:val="BodyText"/>
      </w:pPr>
      <w:r>
        <w:t xml:space="preserve">Importantly, the company reaffirmed its full-year 2026 financial guidance, and on the call management struck a confident, "beat-and-hold" tone rather than raising guidance outright: "Because of the strong momentum of the first quarter results, we believe we are well positioned to meet or potentially exceed our expectations for the remainder of the year."</w:t>
      </w:r>
    </w:p>
    <w:bookmarkEnd w:id="10"/>
    <w:bookmarkStart w:id="11" w:name="Xa4dd4070eda75768cc2a88f1e40d4a307bd8e02"/>
    <w:p>
      <w:pPr>
        <w:pStyle w:val="Heading2"/>
      </w:pPr>
      <w:r>
        <w:t xml:space="preserve">3. FY2026 Guidance — The Scorecard for Q2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FY26 Guidance Range</w:t>
            </w:r>
          </w:p>
        </w:tc>
        <w:tc>
          <w:tcPr/>
          <w:p>
            <w:pPr>
              <w:pStyle w:val="Compact"/>
            </w:pPr>
            <w:r>
              <w:t xml:space="preserve">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Revenues</w:t>
            </w:r>
          </w:p>
        </w:tc>
        <w:tc>
          <w:tcPr/>
          <w:p>
            <w:pPr>
              <w:pStyle w:val="Compact"/>
            </w:pPr>
            <w:r>
              <w:t xml:space="preserve">$14.45B – $14.95B</w:t>
            </w:r>
          </w:p>
        </w:tc>
        <w:tc>
          <w:tcPr/>
          <w:p>
            <w:pPr>
              <w:pStyle w:val="Compact"/>
            </w:pPr>
            <w:r>
              <w:t xml:space="preserve">$14.70B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$4.15B – $4.45B</w:t>
            </w:r>
          </w:p>
        </w:tc>
        <w:tc>
          <w:tcPr/>
          <w:p>
            <w:pPr>
              <w:pStyle w:val="Compact"/>
            </w:pPr>
            <w:r>
              <w:t xml:space="preserve">$4.30B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$2.33 – $2.47</w:t>
            </w:r>
          </w:p>
        </w:tc>
        <w:tc>
          <w:tcPr/>
          <w:p>
            <w:pPr>
              <w:pStyle w:val="Compact"/>
            </w:pPr>
            <w:r>
              <w:t xml:space="preserve">$2.40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FCF (ex. transaction/restructuring costs)</w:t>
            </w:r>
          </w:p>
        </w:tc>
        <w:tc>
          <w:tcPr/>
          <w:p>
            <w:pPr>
              <w:pStyle w:val="Compact"/>
            </w:pPr>
            <w:r>
              <w:t xml:space="preserve">$1.95B – $2.35B</w:t>
            </w:r>
          </w:p>
        </w:tc>
        <w:tc>
          <w:tcPr/>
          <w:p>
            <w:pPr>
              <w:pStyle w:val="Compact"/>
            </w:pPr>
            <w:r>
              <w:t xml:space="preserve">$2.15B</w:t>
            </w:r>
          </w:p>
        </w:tc>
      </w:tr>
    </w:tbl>
    <w:p>
      <w:pPr>
        <w:pStyle w:val="BodyText"/>
      </w:pPr>
      <w:r>
        <w:t xml:space="preserve">Viatris is not providing forward-looking guidance for U.S. GAAP net earnings or diluted EPS, but U.S. GAAP net cash provided by operating activities for 2026 is estimated to be between $1.7 billion and $2.0 billion, with a midpoint of approximately $1.85 billion. On the Q1 call, CFO Paul Campbell noted that total revenues, adjusted EBITDA and adjusted EPS are still expected to be weighted to the second half at approximately 52% of the full-year outlook, reflecting normal seasonality and new product launch timing, implying a Q2 print that should look more like a "normal" transition quarter than Q1's outsized China-driven beat. Investors should watch closely whether management</w:t>
      </w:r>
      <w:r>
        <w:t xml:space="preserve"> </w:t>
      </w:r>
      <w:r>
        <w:rPr>
          <w:b/>
          <w:bCs/>
        </w:rPr>
        <w:t xml:space="preserve">raises</w:t>
      </w:r>
      <w:r>
        <w:t xml:space="preserve"> </w:t>
      </w:r>
      <w:r>
        <w:t xml:space="preserve">guidance this quarter given the Q1 upside, or continues to bank the beat as a cushion against H2 risks (Europe competition, ARV supply, FX).</w:t>
      </w:r>
    </w:p>
    <w:bookmarkEnd w:id="11"/>
    <w:bookmarkStart w:id="12" w:name="X949531991d7f11a96a9fd9de860fb3067ce1777"/>
    <w:p>
      <w:pPr>
        <w:pStyle w:val="Heading2"/>
      </w:pPr>
      <w:r>
        <w:t xml:space="preserve">4. Key Operating Questions for the Quarter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Greater China durability intact?</w:t>
      </w:r>
      <w:r>
        <w:t xml:space="preserve"> </w:t>
      </w:r>
      <w:r>
        <w:t xml:space="preserve">The 18% operational growth in Q1 was well above trend. Watch for confirmation that the e-commerce/retail shift (away from hospital channels more exposed to volume-based procurement policy) is sustaining momentum into Q2, and any fresh commentary on China healthcare policy risk.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North America generics/complex generics</w:t>
      </w:r>
      <w:r>
        <w:t xml:space="preserve"> </w:t>
      </w:r>
      <w:r>
        <w:t xml:space="preserve">— new product launches (estradiol, Breyna) drove Q1 strength; watch for continued contribution and progress on the **</w:t>
      </w:r>
      <m:oMath>
        <m:r>
          <m:t>450</m:t>
        </m:r>
        <m:r>
          <m:rPr>
            <m:sty m:val="p"/>
          </m:rPr>
          <m:t>–</m:t>
        </m:r>
        <m:r>
          <m:t>550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n</m:t>
        </m:r>
        <m:r>
          <m:t>e</m:t>
        </m:r>
        <m:r>
          <m:t>w</m:t>
        </m:r>
        <m:r>
          <m:t>p</m:t>
        </m:r>
        <m:r>
          <m:t>r</m:t>
        </m:r>
        <m:r>
          <m:t>o</m:t>
        </m:r>
        <m:r>
          <m:t>d</m:t>
        </m:r>
        <m:r>
          <m:t>u</m:t>
        </m:r>
        <m:r>
          <m:t>c</m:t>
        </m:r>
        <m:r>
          <m:t>t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e</m:t>
        </m:r>
        <m:r>
          <m:t>d</m:t>
        </m:r>
        <m:r>
          <m:t>f</m:t>
        </m:r>
        <m:r>
          <m:t>o</m:t>
        </m:r>
        <m:r>
          <m:t>r</m:t>
        </m:r>
        <m:r>
          <m:t>2026</m:t>
        </m:r>
        <m:r>
          <m:rPr>
            <m:sty m:val="p"/>
          </m:rPr>
          <m:t>(</m:t>
        </m:r>
        <m:r>
          <m:t>o</m:t>
        </m:r>
        <m:r>
          <m:t>n</m:t>
        </m:r>
        <m:r>
          <m:t>l</m:t>
        </m:r>
        <m:r>
          <m:t>y</m:t>
        </m:r>
        <m:r>
          <m:t> </m:t>
        </m:r>
      </m:oMath>
      <w:r>
        <w:t xml:space="preserve">71 million was recognized in Q1, so the ramp is heavily H2-weighted).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ARV supply constraints</w:t>
      </w:r>
      <w:r>
        <w:t xml:space="preserve"> </w:t>
      </w:r>
      <w:r>
        <w:t xml:space="preserve">in Emerging Markets — management said in Q1 it was mitigating via alternate sourcing and had "baked in" the risk to guidance; an update on resolution timing matters for Emerging Markets segment trends.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Europe and JANZ softness</w:t>
      </w:r>
      <w:r>
        <w:t xml:space="preserve"> </w:t>
      </w:r>
      <w:r>
        <w:t xml:space="preserve">— Dymista competition, generic pricing pressure, and Japan price regulation were headwinds in Q1; look for signs of stabilization or further deterioration.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Margins</w:t>
      </w:r>
      <w:r>
        <w:t xml:space="preserve"> </w:t>
      </w:r>
      <w:r>
        <w:t xml:space="preserve">— Q1 adjusted gross margin was flat at 56%, with OpEx favorability from cost discipline and early restructuring savings; investors will want proof that EBITDA leverage (10% operational growth on 3% revenue growth in Q1) continues.</w:t>
      </w:r>
    </w:p>
    <w:bookmarkEnd w:id="12"/>
    <w:bookmarkStart w:id="13" w:name="X6012668edade8d662515ac2b96659973eef6b99"/>
    <w:p>
      <w:pPr>
        <w:pStyle w:val="Heading2"/>
      </w:pPr>
      <w:r>
        <w:t xml:space="preserve">5. Pipeline Catalysts — Several Already Delivered Since Q1</w:t>
      </w:r>
    </w:p>
    <w:p>
      <w:pPr>
        <w:pStyle w:val="FirstParagraph"/>
      </w:pPr>
      <w:r>
        <w:t xml:space="preserve">Viatris entered the year with six anticipated regulatory decisions, and several have now cleared: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Gwyn Lo (formerly the low-dose estrogen weekly contraceptive patch)</w:t>
      </w:r>
      <w:r>
        <w:t xml:space="preserve"> </w:t>
      </w:r>
      <w:r>
        <w:t xml:space="preserve">— the FDA approved the product on July 29, 2026, just ahead of its July 30 PDUFA date. It is a once-weekly combined hormonal contraceptive patch, and Viatris expects it to be commercially available by the end of 2026 — an important near-term launch for the women's health franchise, though the approved label carries a BMI-under-30 restriction that limits the addressable population.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Fast-acting meloxicam (MR-107A-02)</w:t>
      </w:r>
      <w:r>
        <w:t xml:space="preserve"> </w:t>
      </w:r>
      <w:r>
        <w:t xml:space="preserve">for moderate-to-severe acute pain — NDA accepted by FDA; management expects opioid-sparing language to be included in the label, subject to FDA review and discussion, and is building a specialty sales force of roughly 150–200 reps for the launch. A PDUFA decision is still expected in the second half of 2026.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Phentolamine ophthalmic solution (MR-141)</w:t>
      </w:r>
      <w:r>
        <w:t xml:space="preserve"> </w:t>
      </w:r>
      <w:r>
        <w:t xml:space="preserve">for presbyopia — sNDA has an assigned PDUFA goal date of October 17, 2026 (per Q1 commentary).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Pitolisant in Japan</w:t>
      </w:r>
      <w:r>
        <w:t xml:space="preserve"> </w:t>
      </w:r>
      <w:r>
        <w:t xml:space="preserve">(OSAS and narcolepsy) — J-NDAs under PMDA review, with decisions expected in the second half of 2026.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Nefecon (VR-205) in Japan</w:t>
      </w:r>
      <w:r>
        <w:t xml:space="preserve"> </w:t>
      </w:r>
      <w:r>
        <w:t xml:space="preserve">— Viatris announced in early July that the Phase 3 study in Japanese patients with IgA nephropathy met its primary and key secondary endpoints and was well tolerated, consistent with the global profile — a positive readout that should support filing.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Longer-dated catalysts</w:t>
      </w:r>
      <w:r>
        <w:t xml:space="preserve">: selatogrel (Phase III SOS-AMI, enrolling ~1,200 patients/month, full enrollment targeted by end of 2026) and cenerimod (Phase III OPUS-1/2 in SLE, fully enrolled, data expected first half of 2027) remain the bigger long-term innovative-pipeline optionality, with management reiterating a longer-term target of</w:t>
      </w:r>
      <w:r>
        <w:t xml:space="preserve"> </w:t>
      </w:r>
      <w:r>
        <w:rPr>
          <w:b/>
          <w:bCs/>
        </w:rPr>
        <w:t xml:space="preserve">4% organic revenue growth by 2030</w:t>
      </w:r>
      <w:r>
        <w:t xml:space="preserve"> </w:t>
      </w:r>
      <w:r>
        <w:t xml:space="preserve">(per the March 2026 Investor Day).</w:t>
      </w:r>
    </w:p>
    <w:p>
      <w:pPr>
        <w:pStyle w:val="FirstParagraph"/>
      </w:pPr>
      <w:r>
        <w:t xml:space="preserve">Given this cadence of newsflow since Q1, the call is likely to include incremental updates/timing on meloxicam's PDUFA date and label, Gwyn Lo's commercial launch plan, and Japan approvals for pitolisant.</w:t>
      </w:r>
    </w:p>
    <w:bookmarkEnd w:id="13"/>
    <w:bookmarkStart w:id="14" w:name="Xe2c80e7d49ae532d51ccb2e0fa1d24cd599bd2c"/>
    <w:p>
      <w:pPr>
        <w:pStyle w:val="Heading2"/>
      </w:pPr>
      <w:r>
        <w:t xml:space="preserve">6. Capital Allocation &amp; Corporate Items</w:t>
      </w:r>
    </w:p>
    <w:p>
      <w:pPr>
        <w:pStyle w:val="Compact"/>
        <w:numPr>
          <w:ilvl w:val="0"/>
          <w:numId w:val="1003"/>
        </w:numPr>
      </w:pPr>
      <w:r>
        <w:t xml:space="preserve">Viatris continues to expect</w:t>
      </w:r>
      <w:r>
        <w:t xml:space="preserve"> </w:t>
      </w:r>
      <w:r>
        <w:rPr>
          <w:b/>
          <w:bCs/>
        </w:rPr>
        <w:t xml:space="preserve">more than $2.5 billion of cash available for deployment in 2026</w:t>
      </w:r>
      <w:r>
        <w:t xml:space="preserve">, and returned $140 million to shareholders via dividend in Q1 alone.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Biocon exit</w:t>
      </w:r>
      <w:r>
        <w:t xml:space="preserve">: Mylan (a Viatris subsidiary) fully monetized its legacy ~5.64% Biocon stake in mid-July via a ~$363 million block sale, removing a long-standing overhang and adding to available capital following expiry of a lock-in from the earlier Biocon Biologics transaction.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Restructuring/cost savings</w:t>
      </w:r>
      <w:r>
        <w:t xml:space="preserve">: the enterprise-wide strategic review is targeting</w:t>
      </w:r>
      <w:r>
        <w:t xml:space="preserve"> </w:t>
      </w:r>
      <w:r>
        <w:rPr>
          <w:b/>
          <w:bCs/>
        </w:rPr>
        <w:t xml:space="preserve">$650 million in total cost savings</w:t>
      </w:r>
      <w:r>
        <w:t xml:space="preserve"> </w:t>
      </w:r>
      <w:r>
        <w:t xml:space="preserve">(with up to $250 million of reinvestment) over three years, including a workforce reduction of up to ~10%; management said on the Q1 call it remains on track to deliver roughly $120 million of savings this year, and that this is already showing up as EBITDA leverage.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CFO transition</w:t>
      </w:r>
      <w:r>
        <w:t xml:space="preserve">: Doretta Mistras departed as CFO; Paul Campbell (longtime Chief Accounting Officer/Controller) stepped in as interim CFO. Management stated explicitly that investors should expect</w:t>
      </w:r>
      <w:r>
        <w:t xml:space="preserve"> </w:t>
      </w:r>
      <w:r>
        <w:rPr>
          <w:b/>
          <w:bCs/>
        </w:rPr>
        <w:t xml:space="preserve">no change to capital allocation or financial policy</w:t>
      </w:r>
      <w:r>
        <w:t xml:space="preserve"> </w:t>
      </w:r>
      <w:r>
        <w:t xml:space="preserve">as a result.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Business development</w:t>
      </w:r>
      <w:r>
        <w:t xml:space="preserve">: management reiterated a preference for in-market, accretive, bolt-on M&amp;A over early-stage R&amp;D risk, with the war chest earmarked for opportunities that are "the right size" for Viatris rather than being absorbed by larger pharma.</w:t>
      </w:r>
    </w:p>
    <w:bookmarkEnd w:id="14"/>
    <w:bookmarkStart w:id="15" w:name="Xf0d679d95b280f8ee20ad60e738448ba47baab2"/>
    <w:p>
      <w:pPr>
        <w:pStyle w:val="Heading2"/>
      </w:pPr>
      <w:r>
        <w:t xml:space="preserve">7. Risks / Overhangs to Watch on the Call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Generic drug tariffs</w:t>
      </w:r>
      <w:r>
        <w:t xml:space="preserve">: President Trump announced in late July that imported generics will remain tariff-free through August 2026, before phasing to a 100% tariff in August 2028 and 200% a year later. This is a multi-year risk rather than an immediate Q2 issue, but Viatris derives a meaningful share of its U.S. generics from imported manufacturing, so expect analyst questions on onshoring plans and exposure.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China policy risk</w:t>
      </w:r>
      <w:r>
        <w:t xml:space="preserve">: management has been explicit that volume-based procurement/pricing policy changes remain unpredictable, even as they expressed confidence of no policy shift this year.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Manufacturing/quality</w:t>
      </w:r>
      <w:r>
        <w:t xml:space="preserve">: Q1 results already absorbed costs tied to a fire at the Nashik manufacturing facility (inventory/fixed-asset write-offs), and the ARV supply constraint issue in Emerging Markets is not yet fully resolved — watch for updates on both.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FX</w:t>
      </w:r>
      <w:r>
        <w:t xml:space="preserve">: management flagged an incremental ~1% currency tailwind to revenue and EBITDA if rates hold, a modest but real swing factor versus guidance.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Rising bar</w:t>
      </w:r>
      <w:r>
        <w:t xml:space="preserve">: with the stock up meaningfully post-Q1 and price targets raised across the Street, a merely "in-line" quarter without a guidance raise could disappoint given how much good news (Gwyn Lo approval, Nefecon Japan data, Biocon monetization) has already been absorbed by the market ahead of the print.</w:t>
      </w:r>
    </w:p>
    <w:bookmarkEnd w:id="15"/>
    <w:bookmarkStart w:id="16" w:name="X59a56c4de27670f2623d3582f339eb306b624b0"/>
    <w:p>
      <w:pPr>
        <w:pStyle w:val="Heading2"/>
      </w:pPr>
      <w:r>
        <w:t xml:space="preserve">8. Bottom Line</w:t>
      </w:r>
    </w:p>
    <w:p>
      <w:pPr>
        <w:pStyle w:val="FirstParagraph"/>
      </w:pPr>
      <w:r>
        <w:t xml:space="preserve">Q2 is less about a single headline number and more about</w:t>
      </w:r>
      <w:r>
        <w:t xml:space="preserve"> </w:t>
      </w:r>
      <w:r>
        <w:rPr>
          <w:b/>
          <w:bCs/>
        </w:rPr>
        <w:t xml:space="preserve">durability</w:t>
      </w:r>
      <w:r>
        <w:t xml:space="preserve">: can Viatris show that the China acceleration, North America generics strength, and pipeline execution seen in Q1 are sustainable trends rather than a one-quarter phenomenon, while offsetting known drags in Europe, JANZ, and ARV supply? With guidance reaffirmed (not raised) after a strong Q1, and consensus already expecting a step down in growth rates for Q2 in line with 52%-second-half-weighted guidance, the key swing factors for the stock reaction will likely be: (1) any language on raising full-year guidance, (2) fresh detail on the new-product-revenue ramp toward the $450–550 million target, (3) updated timing/label color on fast-acting meloxicam and the Gwyn Lo launch, and (4) management's read on tariff and China-policy risk heading into 2027 planning.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2026-08-06T00:29:11Z</dcterms:created>
  <dcterms:modified xsi:type="dcterms:W3CDTF">2026-08-06T00:29:11Z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