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trs-earnings-predictions--2026-08-06"/>
    <w:p>
      <w:pPr>
        <w:pStyle w:val="Heading1"/>
      </w:pPr>
      <w:r>
        <w:t xml:space="preserve">VTRS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~$3.71B vs. cons $3.66B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~$0.63 vs. cons $0.61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~$1.06B vs. cons $1.03B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~$14.80B midpoint vs. cons $14.78B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~$4.42B midpoint vs. cons $4.39B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~$2.49 vs. cons $2.47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+0.9% (FADE)</w:t>
            </w:r>
          </w:p>
        </w:tc>
        <w:tc>
          <w:tcPr/>
          <w:p>
            <w:pPr>
              <w:pStyle w:val="Compact"/>
            </w:pPr>
            <w:r>
              <w:t xml:space="preserve">A modest Q2 beat and FY2026 guide slightly above consensus should drive an initially positive reaction, but the implied H2 adjusted EPS requirement of ~</w:t>
            </w:r>
            <m:oMath>
              <m:r>
                <m:t>1.27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1.27 leaves little room for upward revisions; higher launch and R&amp;D spending should fade part of the day-1 gain.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2026-08-06T00:21:17Z</dcterms:created>
  <dcterms:modified xsi:type="dcterms:W3CDTF">2026-08-06T00:21:17Z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