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s-earnings-predictions--2026-08-06"/>
    <w:p>
      <w:pPr>
        <w:pStyle w:val="Heading1"/>
      </w:pPr>
      <w:r>
        <w:t xml:space="preserve">VTRS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~$3.55B vs. cons $3.55B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~$1.04B vs. cons $1.02B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~$0.61 vs. cons $0.60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~$14.70B midpoint vs. cons $14.74B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~$4.30B midpoint vs. cons $4.30B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~$2.40 midpoint vs. cons $2.43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free-cash-flow guidance excluding transaction and restructuring costs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~$2.15B midpoint vs. cons $2.19B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quarterly beat of ~$0.61 adjusted EPS versus</w:t>
            </w:r>
            <w:r>
              <w:t xml:space="preserve"> </w:t>
            </w:r>
            <m:oMath>
              <m:r>
                <m:t>0.60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u</m:t>
              </m:r>
              <m:r>
                <m:t>n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14.70B revenue and ~$2.40 EPS versus consensus of $14.74B and</w:t>
            </w:r>
            <w:r>
              <w:t xml:space="preserve"> </w:t>
            </w:r>
            <m:oMath>
              <m:r>
                <m:t>2.43</m:t>
              </m:r>
              <m:r>
                <m:rPr>
                  <m:sty m:val="p"/>
                </m:rPr>
                <m:t>;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a</m:t>
              </m:r>
              <m:r>
                <m:t>m</m:t>
              </m:r>
              <m:r>
                <m:t>o</m:t>
              </m:r>
              <m:r>
                <m:t>r</m:t>
              </m:r>
              <m:r>
                <m:t>e</m:t>
              </m:r>
              <m:r>
                <m:t>d</m:t>
              </m:r>
              <m:r>
                <m:t>e</m:t>
              </m:r>
              <m:r>
                <m:t>m</m:t>
              </m:r>
              <m:r>
                <m:t>a</m:t>
              </m:r>
              <m:r>
                <m:t>n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 </m:t>
              </m:r>
            </m:oMath>
            <w:r>
              <w:t xml:space="preserve">7.63B second half versus ~$7.50B consensus, inviting out-period estimate trimming.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2026-08-06T00:19:04Z</dcterms:created>
  <dcterms:modified xsi:type="dcterms:W3CDTF">2026-08-06T00:19:04Z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