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a12af7af0b666ba9e10d09ff437eaa98e754f12"/>
    <w:p>
      <w:pPr>
        <w:pStyle w:val="Heading1"/>
      </w:pPr>
      <w:r>
        <w:t xml:space="preserve">Viatris (NASDAQ: VTRS) — 2Q26 Earnings Preview</w:t>
      </w:r>
    </w:p>
    <w:p>
      <w:pPr>
        <w:pStyle w:val="BlockText"/>
      </w:pPr>
      <w:r>
        <w:rPr>
          <w:b/>
          <w:bCs/>
        </w:rPr>
        <w:t xml:space="preserve">Timing correction:</w:t>
      </w:r>
      <w:r>
        <w:t xml:space="preserve"> </w:t>
      </w:r>
      <w:r>
        <w:t xml:space="preserve">Viatris is scheduled to report</w:t>
      </w:r>
      <w:r>
        <w:t xml:space="preserve"> </w:t>
      </w:r>
      <w:r>
        <w:rPr>
          <w:b/>
          <w:bCs/>
        </w:rPr>
        <w:t xml:space="preserve">today, Thursday, August 6, 2026</w:t>
      </w:r>
      <w:r>
        <w:t xml:space="preserve">, not tomorrow. The company’s earnings call is scheduled for</w:t>
      </w:r>
      <w:r>
        <w:t xml:space="preserve"> </w:t>
      </w:r>
      <w:r>
        <w:rPr>
          <w:b/>
          <w:bCs/>
        </w:rPr>
        <w:t xml:space="preserve">8:30 a.m. ET</w:t>
      </w:r>
      <w:r>
        <w:t xml:space="preserve">.</w:t>
      </w:r>
    </w:p>
    <w:bookmarkStart w:id="9" w:name="preview-takeaway"/>
    <w:p>
      <w:pPr>
        <w:pStyle w:val="Heading2"/>
      </w:pPr>
      <w:r>
        <w:t xml:space="preserve">Preview takeaway</w:t>
      </w:r>
    </w:p>
    <w:p>
      <w:pPr>
        <w:pStyle w:val="FirstParagraph"/>
      </w:pPr>
      <w:r>
        <w:t xml:space="preserve">Viatris enters 2Q26 with a relatively constructive setup: the company delivered a clean 1Q beat-like operating performance, reaffirmed full-year guidance, and has several near-term pipeline and launch catalysts that can reinforce the narrative that it is becoming a more durable growth-and-cash-flow company rather than a declining legacy-generics business.</w:t>
      </w:r>
    </w:p>
    <w:p>
      <w:pPr>
        <w:pStyle w:val="BodyText"/>
      </w:pPr>
      <w:r>
        <w:t xml:space="preserve">The tradeoff is that expectations and the stock have moved. VTRS closed at</w:t>
      </w:r>
      <w:r>
        <w:t xml:space="preserve"> </w:t>
      </w:r>
      <w:r>
        <w:rPr>
          <w:b/>
          <w:bCs/>
        </w:rPr>
        <w:t xml:space="preserve">$17.67 on August 5</w:t>
      </w:r>
      <w:r>
        <w:t xml:space="preserve">, up roughly</w:t>
      </w:r>
      <w:r>
        <w:t xml:space="preserve"> </w:t>
      </w:r>
      <w:r>
        <w:rPr>
          <w:b/>
          <w:bCs/>
        </w:rPr>
        <w:t xml:space="preserve">42% year to date</w:t>
      </w:r>
      <w:r>
        <w:t xml:space="preserve">, after jumping about</w:t>
      </w:r>
      <w:r>
        <w:t xml:space="preserve"> </w:t>
      </w:r>
      <w:r>
        <w:rPr>
          <w:b/>
          <w:bCs/>
        </w:rPr>
        <w:t xml:space="preserve">9%</w:t>
      </w:r>
      <w:r>
        <w:t xml:space="preserve"> </w:t>
      </w:r>
      <w:r>
        <w:t xml:space="preserve">following its May 7 first-quarter report. A merely in-line quarter and another guidance reiteration may therefore be insufficient; investors will likely focus on whether the strong 1Q growth drivers held through 2Q, whether management raises its outlook, and whether recent regulatory milestones support the 2027 growth algorithm.</w:t>
      </w:r>
    </w:p>
    <w:bookmarkEnd w:id="9"/>
    <w:bookmarkStart w:id="13" w:name="what-matters-most"/>
    <w:p>
      <w:pPr>
        <w:pStyle w:val="Heading2"/>
      </w:pPr>
      <w:r>
        <w:t xml:space="preserve">What matters most</w:t>
      </w:r>
    </w:p>
    <w:bookmarkStart w:id="10" w:name="Xc49544ca0844b7e3e94081270de97b7e5f87339"/>
    <w:p>
      <w:pPr>
        <w:pStyle w:val="Heading3"/>
      </w:pPr>
      <w:r>
        <w:t xml:space="preserve">1. Can Greater China remain a meaningful growth engine?</w:t>
      </w:r>
    </w:p>
    <w:p>
      <w:pPr>
        <w:pStyle w:val="FirstParagraph"/>
      </w:pPr>
      <w:r>
        <w:t xml:space="preserve">Greater China was the major upside contributor in 1Q:</w:t>
      </w:r>
    </w:p>
    <w:p>
      <w:pPr>
        <w:pStyle w:val="Compact"/>
        <w:numPr>
          <w:ilvl w:val="0"/>
          <w:numId w:val="1001"/>
        </w:numPr>
      </w:pPr>
      <w:r>
        <w:t xml:space="preserve">Sales grew</w:t>
      </w:r>
      <w:r>
        <w:t xml:space="preserve"> </w:t>
      </w:r>
      <w:r>
        <w:rPr>
          <w:b/>
          <w:bCs/>
        </w:rPr>
        <w:t xml:space="preserve">18% operationally</w:t>
      </w:r>
      <w:r>
        <w:t xml:space="preserve"> </w:t>
      </w:r>
      <w:r>
        <w:t xml:space="preserve">year over year, ahead of management’s prior expectations.</w:t>
      </w:r>
    </w:p>
    <w:p>
      <w:pPr>
        <w:pStyle w:val="Compact"/>
        <w:numPr>
          <w:ilvl w:val="0"/>
          <w:numId w:val="1001"/>
        </w:numPr>
      </w:pPr>
      <w:r>
        <w:t xml:space="preserve">Growth reflected favorable cardiovascular demand, commercial investment, and more than doubling of e-commerce sales.</w:t>
      </w:r>
    </w:p>
    <w:p>
      <w:pPr>
        <w:pStyle w:val="Compact"/>
        <w:numPr>
          <w:ilvl w:val="0"/>
          <w:numId w:val="1001"/>
        </w:numPr>
      </w:pPr>
      <w:r>
        <w:t xml:space="preserve">Management increased its full-year regional expectation to</w:t>
      </w:r>
      <w:r>
        <w:t xml:space="preserve"> </w:t>
      </w:r>
      <w:r>
        <w:rPr>
          <w:b/>
          <w:bCs/>
        </w:rPr>
        <w:t xml:space="preserve">mid- to high-single-digit operational growth</w:t>
      </w:r>
      <w:r>
        <w:t xml:space="preserve"> </w:t>
      </w:r>
      <w:r>
        <w:t xml:space="preserve">from low single digits.</w:t>
      </w:r>
    </w:p>
    <w:p>
      <w:pPr>
        <w:pStyle w:val="FirstParagraph"/>
      </w:pPr>
      <w:r>
        <w:t xml:space="preserve">For 2Q, investors should look for evidence that the regional strength remains broad-based rather than a one-quarter surge. Continued double-digit growth would support a potential full-year outlook increase; a pronounced deceleration would reinforce the concern that policy, pricing, or channel dynamics can make the China result less durable.</w:t>
      </w:r>
    </w:p>
    <w:p>
      <w:pPr>
        <w:pStyle w:val="BodyText"/>
      </w:pPr>
      <w:r>
        <w:rPr>
          <w:b/>
          <w:bCs/>
        </w:rPr>
        <w:t xml:space="preserve">Key question for the call:</w:t>
      </w:r>
      <w:r>
        <w:t xml:space="preserve"> </w:t>
      </w:r>
      <w:r>
        <w:t xml:space="preserve">Did China sustain growth above the revised mid/high-single-digit full-year planning assumption, and how much visibility does management have into the second half?</w:t>
      </w:r>
    </w:p>
    <w:bookmarkEnd w:id="10"/>
    <w:bookmarkStart w:id="11" w:name="X7e192296cc9b04a14a2addccc3a2f19997dda44"/>
    <w:p>
      <w:pPr>
        <w:pStyle w:val="Heading3"/>
      </w:pPr>
      <w:r>
        <w:t xml:space="preserve">2. Is North American generics momentum offsetting pressure elsewhere?</w:t>
      </w:r>
    </w:p>
    <w:p>
      <w:pPr>
        <w:pStyle w:val="FirstParagraph"/>
      </w:pPr>
      <w:r>
        <w:t xml:space="preserve">In 1Q, North America grew</w:t>
      </w:r>
      <w:r>
        <w:t xml:space="preserve"> </w:t>
      </w:r>
      <w:r>
        <w:rPr>
          <w:b/>
          <w:bCs/>
        </w:rPr>
        <w:t xml:space="preserve">3%</w:t>
      </w:r>
      <w:r>
        <w:t xml:space="preserve">, driven by estradiol demand, Breyna, and contributions from complex-generic launches. That helped counter softer trends in several other areas: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Europe:</w:t>
      </w:r>
      <w:r>
        <w:t xml:space="preserve"> </w:t>
      </w:r>
      <w:r>
        <w:t xml:space="preserve">roughly 1% decline, affected by softer markets, Dymista competition, and supply constraints.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Emerging Markets:</w:t>
      </w:r>
      <w:r>
        <w:t xml:space="preserve"> </w:t>
      </w:r>
      <w:r>
        <w:t xml:space="preserve">flat operationally, as established-brand growth was offset by lower-margin ARV supply constraints.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JANZ:</w:t>
      </w:r>
      <w:r>
        <w:t xml:space="preserve"> </w:t>
      </w:r>
      <w:r>
        <w:t xml:space="preserve">down roughly 2%, due to Australia competition and Japanese price regulation, though management cited favorable performance in products including Creon and Amitiza.</w:t>
      </w:r>
    </w:p>
    <w:p>
      <w:pPr>
        <w:pStyle w:val="FirstParagraph"/>
      </w:pPr>
      <w:r>
        <w:t xml:space="preserve">The central question is whether VTRS can sustain positive base-business growth outside China. This matters because the long-term plan calls for approximately</w:t>
      </w:r>
      <w:r>
        <w:t xml:space="preserve"> </w:t>
      </w:r>
      <w:r>
        <w:rPr>
          <w:b/>
          <w:bCs/>
        </w:rPr>
        <w:t xml:space="preserve">4% organic growth by 2030</w:t>
      </w:r>
      <w:r>
        <w:t xml:space="preserve">; the 1Q operational-growth result of 3% was an encouraging start, but the company needs broader consistency to support that trajectory.</w:t>
      </w:r>
    </w:p>
    <w:bookmarkEnd w:id="11"/>
    <w:bookmarkStart w:id="12" w:name="Xd1f4a8a9ba053b94bd2ef71667fc08eb427acc3"/>
    <w:p>
      <w:pPr>
        <w:pStyle w:val="Heading3"/>
      </w:pPr>
      <w:r>
        <w:t xml:space="preserve">3. The bar for guidance is rising</w:t>
      </w:r>
    </w:p>
    <w:p>
      <w:pPr>
        <w:pStyle w:val="FirstParagraph"/>
      </w:pPr>
      <w:r>
        <w:t xml:space="preserve">Viatris reaffirmed 2026 guidance after 1Q: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2026 guidance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Range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Midpoint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14.45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t xml:space="preserve">14.95B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$14.70B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4.15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t xml:space="preserve">4.45B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$4.30B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2.33</m:t>
              </m:r>
              <m:r>
                <m:rPr>
                  <m:sty m:val="p"/>
                </m:rPr>
                <m:t>–</m:t>
              </m:r>
            </m:oMath>
            <w:r>
              <w:t xml:space="preserve">2.47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$2.40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FCF, excluding transaction/restructuring costs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1.95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t xml:space="preserve">2.35B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$2.15B</w:t>
            </w:r>
          </w:p>
        </w:tc>
      </w:tr>
    </w:tbl>
    <w:p>
      <w:pPr>
        <w:pStyle w:val="BodyText"/>
      </w:pPr>
      <w:r>
        <w:t xml:space="preserve">Management stated that revenue, adjusted EBITDA, and adjusted EPS should be approximately</w:t>
      </w:r>
      <w:r>
        <w:t xml:space="preserve"> </w:t>
      </w:r>
      <w:r>
        <w:rPr>
          <w:b/>
          <w:bCs/>
        </w:rPr>
        <w:t xml:space="preserve">52% weighted to the second half</w:t>
      </w:r>
      <w:r>
        <w:t xml:space="preserve">. Applying that phasing mechanically to the guidance midpoint, and subtracting reported 1Q results, implies a rough 2Q framework of: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Illustrative 2Q26 midpoint implied by full-year guide and stated phasing*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 level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$3.54B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$1.01B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$0.56</w:t>
            </w:r>
          </w:p>
        </w:tc>
      </w:tr>
    </w:tbl>
    <w:p>
      <w:pPr>
        <w:pStyle w:val="BodyText"/>
      </w:pPr>
      <w:r>
        <w:t xml:space="preserve">*This is an analytical estimate, not company guidance or published consensus. It assumes guidance is unchanged and that the stated 52% second-half weighting applies approximately to each metric.</w:t>
      </w:r>
    </w:p>
    <w:p>
      <w:pPr>
        <w:pStyle w:val="BodyText"/>
      </w:pPr>
      <w:r>
        <w:t xml:space="preserve">That setup suggests a 2Q quarter broadly similar to 1Q in absolute terms: 1Q revenue was</w:t>
      </w:r>
      <w:r>
        <w:t xml:space="preserve"> </w:t>
      </w:r>
      <m:oMath>
        <m:r>
          <m:t>3.52</m:t>
        </m:r>
        <m:r>
          <m:t>B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a</m:t>
        </m:r>
        <m:r>
          <m:t>d</m:t>
        </m:r>
        <m:r>
          <m:t>j</m:t>
        </m:r>
        <m:r>
          <m:t>u</m:t>
        </m:r>
        <m:r>
          <m:t>s</m:t>
        </m:r>
        <m:r>
          <m:t>t</m:t>
        </m:r>
        <m:r>
          <m:t>e</m:t>
        </m:r>
        <m:r>
          <m:t>d</m:t>
        </m:r>
        <m:r>
          <m:t>E</m:t>
        </m:r>
        <m:r>
          <m:t>B</m:t>
        </m:r>
        <m:r>
          <m:t>I</m:t>
        </m:r>
        <m:r>
          <m:t>T</m:t>
        </m:r>
        <m:r>
          <m:t>D</m:t>
        </m:r>
        <m:r>
          <m:t>A</m:t>
        </m:r>
        <m:r>
          <m:t>w</m:t>
        </m:r>
        <m:r>
          <m:t>a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1.05B</w:t>
      </w:r>
      <w:r>
        <w:t xml:space="preserve">, and adjusted EPS was</w:t>
      </w:r>
      <w:r>
        <w:t xml:space="preserve"> </w:t>
      </w:r>
      <w:r>
        <w:rPr>
          <w:b/>
          <w:bCs/>
        </w:rPr>
        <w:t xml:space="preserve">$0.59</w:t>
      </w:r>
      <w:r>
        <w:t xml:space="preserve">. A raise would likely require continued China outperformance, stable North American generics, and no incremental supply, competitive, or FX headwinds.</w:t>
      </w:r>
    </w:p>
    <w:bookmarkEnd w:id="12"/>
    <w:bookmarkEnd w:id="13"/>
    <w:bookmarkStart w:id="14" w:name="margin-and-cost-savings-execution"/>
    <w:p>
      <w:pPr>
        <w:pStyle w:val="Heading2"/>
      </w:pPr>
      <w:r>
        <w:t xml:space="preserve">Margin and cost-savings execution</w:t>
      </w:r>
    </w:p>
    <w:p>
      <w:pPr>
        <w:pStyle w:val="FirstParagraph"/>
      </w:pPr>
      <w:r>
        <w:t xml:space="preserve">The first quarter showed the operating leverage investors have wanted to see:</w:t>
      </w:r>
    </w:p>
    <w:p>
      <w:pPr>
        <w:pStyle w:val="Compact"/>
        <w:numPr>
          <w:ilvl w:val="0"/>
          <w:numId w:val="1003"/>
        </w:numPr>
      </w:pPr>
      <w:r>
        <w:t xml:space="preserve">Revenue grew</w:t>
      </w:r>
      <w:r>
        <w:t xml:space="preserve"> </w:t>
      </w:r>
      <w:r>
        <w:rPr>
          <w:b/>
          <w:bCs/>
        </w:rPr>
        <w:t xml:space="preserve">3% operationally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Adjusted EBITDA grew</w:t>
      </w:r>
      <w:r>
        <w:t xml:space="preserve"> </w:t>
      </w:r>
      <w:r>
        <w:rPr>
          <w:b/>
          <w:bCs/>
        </w:rPr>
        <w:t xml:space="preserve">10% operationally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Adjusted gross margin held at</w:t>
      </w:r>
      <w:r>
        <w:t xml:space="preserve"> </w:t>
      </w:r>
      <w:r>
        <w:rPr>
          <w:b/>
          <w:bCs/>
        </w:rPr>
        <w:t xml:space="preserve">56%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Adjusted SG&amp;A fell to</w:t>
      </w:r>
      <w:r>
        <w:t xml:space="preserve"> </w:t>
      </w:r>
      <w:r>
        <w:rPr>
          <w:b/>
          <w:bCs/>
        </w:rPr>
        <w:t xml:space="preserve">22% of revenue</w:t>
      </w:r>
      <w:r>
        <w:t xml:space="preserve">, from 24% in the prior-year quarter.</w:t>
      </w:r>
    </w:p>
    <w:p>
      <w:pPr>
        <w:pStyle w:val="FirstParagraph"/>
      </w:pPr>
      <w:r>
        <w:t xml:space="preserve">Management attributed part of the benefit to disciplined cost control, strategic-review savings, and expense phasing. The company is targeting roughly</w:t>
      </w:r>
      <w:r>
        <w:t xml:space="preserve"> </w:t>
      </w:r>
      <w:r>
        <w:rPr>
          <w:b/>
          <w:bCs/>
        </w:rPr>
        <w:t xml:space="preserve">$400 million of net savings</w:t>
      </w:r>
      <w:r>
        <w:t xml:space="preserve"> </w:t>
      </w:r>
      <w:r>
        <w:t xml:space="preserve">under its enterprise-wide strategic review, with approximately 30% expected in 2026.</w:t>
      </w:r>
    </w:p>
    <w:p>
      <w:pPr>
        <w:pStyle w:val="BodyText"/>
      </w:pPr>
      <w:r>
        <w:t xml:space="preserve">The risk is that part of the 1Q cost performance was timing-related. Investors should distinguish between: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Structural savings</w:t>
      </w:r>
      <w:r>
        <w:t xml:space="preserve"> </w:t>
      </w:r>
      <w:r>
        <w:t xml:space="preserve">that can support margins into 2027–28; and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Temporary favorable phasing</w:t>
      </w:r>
      <w:r>
        <w:t xml:space="preserve"> </w:t>
      </w:r>
      <w:r>
        <w:t xml:space="preserve">that reverses as launch, commercial, and R&amp;D investment ramps later in the year.</w:t>
      </w:r>
    </w:p>
    <w:bookmarkEnd w:id="14"/>
    <w:bookmarkStart w:id="15" w:name="X4ef45470b4c05757f7e98402c1c41c7f7ffd551"/>
    <w:p>
      <w:pPr>
        <w:pStyle w:val="Heading2"/>
      </w:pPr>
      <w:r>
        <w:t xml:space="preserve">Free cash flow, capital allocation, and balance-sheet developments</w:t>
      </w:r>
    </w:p>
    <w:p>
      <w:pPr>
        <w:pStyle w:val="FirstParagraph"/>
      </w:pPr>
      <w:r>
        <w:t xml:space="preserve">Cash generation remains a key part of the VTRS thesis. Management expects more than</w:t>
      </w:r>
      <w:r>
        <w:t xml:space="preserve"> </w:t>
      </w:r>
      <m:oMath>
        <m:r>
          <m:t>2.5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c</m:t>
        </m:r>
        <m:r>
          <m:t>a</m:t>
        </m:r>
        <m:r>
          <m:t>s</m:t>
        </m:r>
        <m:r>
          <m:t>h</m:t>
        </m:r>
        <m:r>
          <m:t>a</m:t>
        </m:r>
        <m:r>
          <m:t>v</m:t>
        </m:r>
        <m:r>
          <m:t>a</m:t>
        </m:r>
        <m:r>
          <m:t>i</m:t>
        </m:r>
        <m:r>
          <m:t>l</m:t>
        </m:r>
        <m:r>
          <m:t>a</m:t>
        </m:r>
        <m:r>
          <m:t>b</m:t>
        </m:r>
        <m:r>
          <m:t>l</m:t>
        </m:r>
        <m:r>
          <m:t>e</m:t>
        </m:r>
        <m:r>
          <m:t>f</m:t>
        </m:r>
        <m:r>
          <m:t>o</m:t>
        </m:r>
        <m:r>
          <m:t>r</m:t>
        </m:r>
        <m:r>
          <m:t>d</m:t>
        </m:r>
        <m:r>
          <m:t>e</m:t>
        </m:r>
        <m:r>
          <m:t>p</m:t>
        </m:r>
        <m:r>
          <m:t>l</m:t>
        </m:r>
        <m:r>
          <m:t>o</m:t>
        </m:r>
        <m:r>
          <m:t>y</m:t>
        </m:r>
        <m:r>
          <m:t>m</m:t>
        </m:r>
        <m:r>
          <m:t>e</m:t>
        </m:r>
        <m:r>
          <m:t>n</m:t>
        </m:r>
        <m:r>
          <m:t>t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i</m:t>
        </m:r>
        <m:r>
          <m:t>n</m:t>
        </m:r>
        <m:r>
          <m:t>2026</m:t>
        </m:r>
        <m:r>
          <m:rPr>
            <m:sty m:val="p"/>
          </m:rPr>
          <m:t>,</m:t>
        </m:r>
        <m:r>
          <m:t>w</m:t>
        </m:r>
        <m:r>
          <m:t>h</m:t>
        </m:r>
        <m:r>
          <m:t>i</m:t>
        </m:r>
        <m:r>
          <m:t>l</m:t>
        </m:r>
        <m:r>
          <m:t>e</m:t>
        </m:r>
        <m:r>
          <m:t>g</m:t>
        </m:r>
        <m:r>
          <m:t>u</m:t>
        </m:r>
        <m:r>
          <m:t>i</m:t>
        </m:r>
        <m:r>
          <m:t>d</m:t>
        </m:r>
        <m:r>
          <m:t>i</m:t>
        </m:r>
        <m:r>
          <m:t>n</m:t>
        </m:r>
        <m:r>
          <m:t>g</m:t>
        </m:r>
        <m:r>
          <m:t>t</m:t>
        </m:r>
        <m:r>
          <m:t>o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1.95B–$2.35B</w:t>
      </w:r>
      <w:r>
        <w:t xml:space="preserve"> </w:t>
      </w:r>
      <w:r>
        <w:t xml:space="preserve">of free cash flow excluding transaction and restructuring costs.</w:t>
      </w:r>
    </w:p>
    <w:p>
      <w:pPr>
        <w:pStyle w:val="BodyText"/>
      </w:pPr>
      <w:r>
        <w:t xml:space="preserve">1Q free cash flow was</w:t>
      </w:r>
      <w:r>
        <w:t xml:space="preserve"> </w:t>
      </w:r>
      <m:oMath>
        <m:r>
          <m:t>348</m:t>
        </m:r>
        <m:r>
          <m:t>M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o</m:t>
        </m:r>
        <m:r>
          <m:t>n</m:t>
        </m:r>
        <m:r>
          <m:t>a</m:t>
        </m:r>
        <m:r>
          <m:t>r</m:t>
        </m:r>
        <m:r>
          <m:t>e</m:t>
        </m:r>
        <m:r>
          <m:t>p</m:t>
        </m:r>
        <m:r>
          <m:t>o</m:t>
        </m:r>
        <m:r>
          <m:t>r</m:t>
        </m:r>
        <m:r>
          <m:t>t</m:t>
        </m:r>
        <m:r>
          <m:t>e</m:t>
        </m:r>
        <m:r>
          <m:t>d</m:t>
        </m:r>
        <m:r>
          <m:t>b</m:t>
        </m:r>
        <m:r>
          <m:t>a</m:t>
        </m:r>
        <m:r>
          <m:t>s</m:t>
        </m:r>
        <m:r>
          <m:t>i</m:t>
        </m:r>
        <m:r>
          <m:t>s</m:t>
        </m:r>
        <m:r>
          <m:rPr>
            <m:sty m:val="p"/>
          </m:rPr>
          <m:t>,</m:t>
        </m:r>
        <m:r>
          <m:t>o</m:t>
        </m:r>
        <m:r>
          <m:t>r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459M</w:t>
      </w:r>
      <w:r>
        <w:t xml:space="preserve"> </w:t>
      </w:r>
      <w:r>
        <w:t xml:space="preserve">excluding transaction and restructuring costs. Management expects free cash flow to be materially stronger in the second half because of working-capital timing and lower one-time cash costs.</w:t>
      </w:r>
    </w:p>
    <w:p>
      <w:pPr>
        <w:pStyle w:val="BodyText"/>
      </w:pPr>
      <w:r>
        <w:t xml:space="preserve">Balance-sheet execution should also be in focus:</w:t>
      </w:r>
    </w:p>
    <w:p>
      <w:pPr>
        <w:pStyle w:val="Compact"/>
        <w:numPr>
          <w:ilvl w:val="0"/>
          <w:numId w:val="1005"/>
        </w:numPr>
      </w:pPr>
      <w:r>
        <w:t xml:space="preserve">At March 31, Viatris had</w:t>
      </w:r>
      <w:r>
        <w:t xml:space="preserve"> </w:t>
      </w:r>
      <m:oMath>
        <m:r>
          <m:t>1.8</m:t>
        </m:r>
        <m:r>
          <m:t>B</m:t>
        </m:r>
        <m:r>
          <m:t>o</m:t>
        </m:r>
        <m:r>
          <m:t>f</m:t>
        </m:r>
        <m:r>
          <m:t>c</m:t>
        </m:r>
        <m:r>
          <m:t>a</m:t>
        </m:r>
        <m:r>
          <m:t>s</m:t>
        </m:r>
        <m:r>
          <m:t>h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14.3B of total debt</w:t>
      </w:r>
      <w:r>
        <w:t xml:space="preserve">, including current maturities.</w:t>
      </w:r>
    </w:p>
    <w:p>
      <w:pPr>
        <w:pStyle w:val="Compact"/>
        <w:numPr>
          <w:ilvl w:val="0"/>
          <w:numId w:val="1005"/>
        </w:numPr>
      </w:pPr>
      <w:r>
        <w:t xml:space="preserve">In June, the company issued</w:t>
      </w:r>
      <w:r>
        <w:t xml:space="preserve"> </w:t>
      </w:r>
      <w:r>
        <w:rPr>
          <w:b/>
          <w:bCs/>
        </w:rPr>
        <w:t xml:space="preserve">€650M of 4.25% senior notes due 2033</w:t>
      </w:r>
      <w:r>
        <w:t xml:space="preserve">, using proceeds principally to refinance its</w:t>
      </w:r>
      <w:r>
        <w:t xml:space="preserve"> </w:t>
      </w:r>
      <w:r>
        <w:rPr>
          <w:b/>
          <w:bCs/>
        </w:rPr>
        <w:t xml:space="preserve">$1.675B of 3.95% notes due in 2026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In July, it entered a new</w:t>
      </w:r>
      <w:r>
        <w:t xml:space="preserve"> </w:t>
      </w:r>
      <w:r>
        <w:rPr>
          <w:b/>
          <w:bCs/>
        </w:rPr>
        <w:t xml:space="preserve">¥40B term-loan agreement</w:t>
      </w:r>
      <w:r>
        <w:t xml:space="preserve">.</w:t>
      </w:r>
    </w:p>
    <w:p>
      <w:pPr>
        <w:pStyle w:val="FirstParagraph"/>
      </w:pPr>
      <w:r>
        <w:t xml:space="preserve">These actions appear directed at refinancing and liquidity management rather than a change in capital-allocation strategy. Still, investors will want updated commentary on leverage, interest expense, buybacks, the dividend, and the size and timing of any business-development deployment.</w:t>
      </w:r>
    </w:p>
    <w:bookmarkEnd w:id="15"/>
    <w:bookmarkStart w:id="18" w:name="pipeline-and-catalyst-watch"/>
    <w:p>
      <w:pPr>
        <w:pStyle w:val="Heading2"/>
      </w:pPr>
      <w:r>
        <w:t xml:space="preserve">Pipeline and catalyst watch</w:t>
      </w:r>
    </w:p>
    <w:p>
      <w:pPr>
        <w:pStyle w:val="FirstParagraph"/>
      </w:pPr>
      <w:r>
        <w:t xml:space="preserve">The 2Q call could be more important for portfolio catalysts than for the quarter itself.</w:t>
      </w:r>
    </w:p>
    <w:bookmarkStart w:id="16" w:name="near-term-items"/>
    <w:p>
      <w:pPr>
        <w:pStyle w:val="Heading3"/>
      </w:pPr>
      <w:r>
        <w:t xml:space="preserve">Near-term items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Xulane Lo:</w:t>
      </w:r>
      <w:r>
        <w:t xml:space="preserve"> </w:t>
      </w:r>
      <w:r>
        <w:t xml:space="preserve">The low-dose estrogen weekly contraceptive patch had a stated FDA PDUFA goal date of</w:t>
      </w:r>
      <w:r>
        <w:t xml:space="preserve"> </w:t>
      </w:r>
      <w:r>
        <w:rPr>
          <w:b/>
          <w:bCs/>
        </w:rPr>
        <w:t xml:space="preserve">July 30, 2026</w:t>
      </w:r>
      <w:r>
        <w:t xml:space="preserve">. Viatris had not separately disclosed an outcome in the materials reviewed ahead of earnings, making an update a potentially important event-day item.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Fast-acting meloxicam:</w:t>
      </w:r>
      <w:r>
        <w:t xml:space="preserve"> </w:t>
      </w:r>
      <w:r>
        <w:t xml:space="preserve">Management expected an FDA decision in the second half of 2026 and has emphasized its expectation for opioid-sparing label language. The commercial plan involves a targeted specialty sales force of roughly 150–200 representatives and positions the asset as a 2027 growth driver.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Phentolamine ophthalmic solution for presbyopia:</w:t>
      </w:r>
      <w:r>
        <w:t xml:space="preserve"> </w:t>
      </w:r>
      <w:r>
        <w:t xml:space="preserve">Assigned PDUFA date of</w:t>
      </w:r>
      <w:r>
        <w:t xml:space="preserve"> </w:t>
      </w:r>
      <w:r>
        <w:rPr>
          <w:b/>
          <w:bCs/>
        </w:rPr>
        <w:t xml:space="preserve">October 17, 2026</w:t>
      </w:r>
      <w:r>
        <w:t xml:space="preserve">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Japan:</w:t>
      </w:r>
      <w:r>
        <w:t xml:space="preserve"> </w:t>
      </w:r>
      <w:r>
        <w:t xml:space="preserve">Following March approval of Effexor for generalized anxiety disorder, investors are awaiting decisions for pitolisant in excessive daytime sleepiness/narcolepsy and progress on Nefecon in IgA nephropathy.</w:t>
      </w:r>
    </w:p>
    <w:bookmarkEnd w:id="16"/>
    <w:bookmarkStart w:id="17" w:name="longer-dated-value-drivers"/>
    <w:p>
      <w:pPr>
        <w:pStyle w:val="Heading3"/>
      </w:pPr>
      <w:r>
        <w:t xml:space="preserve">Longer-dated value drivers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Cenerimod:</w:t>
      </w:r>
      <w:r>
        <w:t xml:space="preserve"> </w:t>
      </w:r>
      <w:r>
        <w:t xml:space="preserve">Phase III OPUS-1 and OPUS-2 trials in systemic lupus erythematosus are fully enrolled, with results expected in the first half of 2027.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Selatogrel:</w:t>
      </w:r>
      <w:r>
        <w:t xml:space="preserve"> </w:t>
      </w:r>
      <w:r>
        <w:t xml:space="preserve">Enrollment in the SOS-AMI Phase III study was running near 1,200 patients per month; full enrollment was targeted by year-end 2026.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Generic GLP-1s:</w:t>
      </w:r>
      <w:r>
        <w:t xml:space="preserve"> </w:t>
      </w:r>
      <w:r>
        <w:t xml:space="preserve">Management frames this as a longer-term opportunity, more relevant to the 2030-and-beyond period than near-term estimates, with a particular U.S. focus on device and auto-injector capabilities.</w:t>
      </w:r>
    </w:p>
    <w:bookmarkEnd w:id="17"/>
    <w:bookmarkEnd w:id="18"/>
    <w:bookmarkStart w:id="19" w:name="risks-heading-into-the-print"/>
    <w:p>
      <w:pPr>
        <w:pStyle w:val="Heading2"/>
      </w:pPr>
      <w:r>
        <w:t xml:space="preserve">Risks heading into the print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China normalization or policy risk.</w:t>
      </w:r>
      <w:r>
        <w:t xml:space="preserve"> </w:t>
      </w:r>
      <w:r>
        <w:t xml:space="preserve">China is now a more important swing factor after driving 1Q upside.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Generic competition and price erosion.</w:t>
      </w:r>
      <w:r>
        <w:t xml:space="preserve"> </w:t>
      </w:r>
      <w:r>
        <w:t xml:space="preserve">VTRS still has meaningful exposure to mature products, Dymista pressure, developed-market generics competition, and loss-of-exclusivity dynamics.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ARV and manufacturing supply constraints.</w:t>
      </w:r>
      <w:r>
        <w:t xml:space="preserve"> </w:t>
      </w:r>
      <w:r>
        <w:t xml:space="preserve">Management said it had included known ARV disruption risks in its outlook, but resolution timing matters for Emerging Markets performance and working capital.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Cash-flow timing.</w:t>
      </w:r>
      <w:r>
        <w:t xml:space="preserve"> </w:t>
      </w:r>
      <w:r>
        <w:t xml:space="preserve">Strong second-half cash flow is part of the full-year setup; any delay in working-capital normalization or incremental restructuring cash outlays could temper confidence.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Pipeline/regulatory execution.</w:t>
      </w:r>
      <w:r>
        <w:t xml:space="preserve"> </w:t>
      </w:r>
      <w:r>
        <w:t xml:space="preserve">With the shares stronger, investors may increasingly value the probability, label quality, and launch potential of Xulane Lo and fast-acting meloxicam—not simply their approval status.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No guidance raise.</w:t>
      </w:r>
      <w:r>
        <w:t xml:space="preserve"> </w:t>
      </w:r>
      <w:r>
        <w:t xml:space="preserve">Given the strong 1Q result and favorable share-price performance, an unchanged guide without compelling second-half commentary could be received less favorably than it would have been three months ago.</w:t>
      </w:r>
    </w:p>
    <w:bookmarkEnd w:id="19"/>
    <w:bookmarkStart w:id="22" w:name="X2b05adaef40e7fde606bd202d85c02d5c69600d"/>
    <w:p>
      <w:pPr>
        <w:pStyle w:val="Heading2"/>
      </w:pPr>
      <w:r>
        <w:t xml:space="preserve">What would constitute a bullish versus cautious outcome?</w:t>
      </w:r>
    </w:p>
    <w:bookmarkStart w:id="20" w:name="bullish"/>
    <w:p>
      <w:pPr>
        <w:pStyle w:val="Heading3"/>
      </w:pPr>
      <w:r>
        <w:t xml:space="preserve">Bullish</w:t>
      </w:r>
    </w:p>
    <w:p>
      <w:pPr>
        <w:pStyle w:val="Compact"/>
        <w:numPr>
          <w:ilvl w:val="0"/>
          <w:numId w:val="1009"/>
        </w:numPr>
      </w:pPr>
      <w:r>
        <w:t xml:space="preserve">Revenue and adjusted EBITDA ahead of the implied 2Q run rate.</w:t>
      </w:r>
    </w:p>
    <w:p>
      <w:pPr>
        <w:pStyle w:val="Compact"/>
        <w:numPr>
          <w:ilvl w:val="0"/>
          <w:numId w:val="1009"/>
        </w:numPr>
      </w:pPr>
      <w:r>
        <w:t xml:space="preserve">Sustained strong Greater China growth and healthy North American generics performance.</w:t>
      </w:r>
    </w:p>
    <w:p>
      <w:pPr>
        <w:pStyle w:val="Compact"/>
        <w:numPr>
          <w:ilvl w:val="0"/>
          <w:numId w:val="1009"/>
        </w:numPr>
      </w:pPr>
      <w:r>
        <w:t xml:space="preserve">A guidance increase, or at least a clear indication that management sees upside to the current range.</w:t>
      </w:r>
    </w:p>
    <w:p>
      <w:pPr>
        <w:pStyle w:val="Compact"/>
        <w:numPr>
          <w:ilvl w:val="0"/>
          <w:numId w:val="1009"/>
        </w:numPr>
      </w:pPr>
      <w:r>
        <w:t xml:space="preserve">Confirmation of structural—not merely timing-related—cost savings.</w:t>
      </w:r>
    </w:p>
    <w:p>
      <w:pPr>
        <w:pStyle w:val="Compact"/>
        <w:numPr>
          <w:ilvl w:val="0"/>
          <w:numId w:val="1009"/>
        </w:numPr>
      </w:pPr>
      <w:r>
        <w:t xml:space="preserve">Favorable regulatory/launch commentary on Xulane Lo and fast-acting meloxicam.</w:t>
      </w:r>
    </w:p>
    <w:p>
      <w:pPr>
        <w:pStyle w:val="Compact"/>
        <w:numPr>
          <w:ilvl w:val="0"/>
          <w:numId w:val="1009"/>
        </w:numPr>
      </w:pPr>
      <w:r>
        <w:t xml:space="preserve">Reaffirmed confidence in second-half free-cash-flow conversion and balanced shareholder returns/M&amp;A capacity.</w:t>
      </w:r>
    </w:p>
    <w:bookmarkEnd w:id="20"/>
    <w:bookmarkStart w:id="21" w:name="cautious"/>
    <w:p>
      <w:pPr>
        <w:pStyle w:val="Heading3"/>
      </w:pPr>
      <w:r>
        <w:t xml:space="preserve">Cautious</w:t>
      </w:r>
    </w:p>
    <w:p>
      <w:pPr>
        <w:pStyle w:val="Compact"/>
        <w:numPr>
          <w:ilvl w:val="0"/>
          <w:numId w:val="1010"/>
        </w:numPr>
      </w:pPr>
      <w:r>
        <w:t xml:space="preserve">China growth slows sharply, or management flags new policy/channel uncertainty.</w:t>
      </w:r>
    </w:p>
    <w:p>
      <w:pPr>
        <w:pStyle w:val="Compact"/>
        <w:numPr>
          <w:ilvl w:val="0"/>
          <w:numId w:val="1010"/>
        </w:numPr>
      </w:pPr>
      <w:r>
        <w:t xml:space="preserve">Generic pricing, Europe, ARVs, or manufacturing constraints become larger offsets.</w:t>
      </w:r>
    </w:p>
    <w:p>
      <w:pPr>
        <w:pStyle w:val="Compact"/>
        <w:numPr>
          <w:ilvl w:val="0"/>
          <w:numId w:val="1010"/>
        </w:numPr>
      </w:pPr>
      <w:r>
        <w:t xml:space="preserve">EBITDA performance relies materially on delayed spending rather than lasting productivity gains.</w:t>
      </w:r>
    </w:p>
    <w:p>
      <w:pPr>
        <w:pStyle w:val="Compact"/>
        <w:numPr>
          <w:ilvl w:val="0"/>
          <w:numId w:val="1010"/>
        </w:numPr>
      </w:pPr>
      <w:r>
        <w:t xml:space="preserve">Free-cash-flow expectations are pushed later or reduced.</w:t>
      </w:r>
    </w:p>
    <w:p>
      <w:pPr>
        <w:pStyle w:val="Compact"/>
        <w:numPr>
          <w:ilvl w:val="0"/>
          <w:numId w:val="1010"/>
        </w:numPr>
      </w:pPr>
      <w:r>
        <w:t xml:space="preserve">Guidance remains unchanged but management’s tone becomes more guarded.</w:t>
      </w:r>
    </w:p>
    <w:p>
      <w:pPr>
        <w:pStyle w:val="Compact"/>
        <w:numPr>
          <w:ilvl w:val="0"/>
          <w:numId w:val="1010"/>
        </w:numPr>
      </w:pPr>
      <w:r>
        <w:t xml:space="preserve">Regulatory updates are delayed, unfavorable, or less commercially attractive than investors expect.</w:t>
      </w:r>
    </w:p>
    <w:bookmarkEnd w:id="21"/>
    <w:bookmarkEnd w:id="22"/>
    <w:bookmarkStart w:id="23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Viatris has shifted toward a more credible growth-and-execution story: 1Q showed revenue growth, operating leverage, and a path to substantial cash generation. The 2Q report must now validate that the first-quarter momentum was repeatable—particularly in Greater China and North American generics—and show that management can convert base-business stability, cost savings, and a broad set of regulatory milestones into a stronger 2027 outlook.</w:t>
      </w:r>
    </w:p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2026-08-06T00:19:04Z</dcterms:created>
  <dcterms:modified xsi:type="dcterms:W3CDTF">2026-08-06T00:19:04Z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