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Viatris Inc. (VTRS)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Viatris Inc. (VTRS)</w:t>
            </w:r>
          </w:p>
        </w:tc>
      </w:tr>
      <w:tr>
        <w:tc>
          <w:tcPr>
            <w:tcW w:type="dxa" w:w="4320"/>
          </w:tcPr>
          <w:p>
            <w:r>
              <w:rPr>
                <w:rFonts w:ascii="Calibri" w:hAnsi="Calibri"/>
                <w:b/>
                <w:sz w:val="22"/>
              </w:rPr>
              <w:t>Earnings Date</w:t>
            </w:r>
          </w:p>
        </w:tc>
        <w:tc>
          <w:tcPr>
            <w:tcW w:type="dxa" w:w="4320"/>
          </w:tcPr>
          <w:p>
            <w:r>
              <w:rPr>
                <w:rFonts w:ascii="Calibri" w:hAnsi="Calibri"/>
                <w:sz w:val="22"/>
              </w:rPr>
              <w:t>August 6, 2026 (pre-market)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Last Earnings</w:t>
            </w:r>
          </w:p>
        </w:tc>
        <w:tc>
          <w:tcPr>
            <w:tcW w:type="dxa" w:w="4320"/>
          </w:tcPr>
          <w:p>
            <w:r>
              <w:rPr>
                <w:rFonts w:ascii="Calibri" w:hAnsi="Calibri"/>
                <w:sz w:val="22"/>
              </w:rPr>
              <w:t>Q1 2026 — May 7, 2026</w:t>
            </w:r>
          </w:p>
        </w:tc>
      </w:tr>
      <w:tr>
        <w:tc>
          <w:tcPr>
            <w:tcW w:type="dxa" w:w="4320"/>
          </w:tcPr>
          <w:p>
            <w:r>
              <w:rPr>
                <w:rFonts w:ascii="Calibri" w:hAnsi="Calibri"/>
                <w:b/>
                <w:sz w:val="22"/>
              </w:rPr>
              <w:t>Prepared</w:t>
            </w:r>
          </w:p>
        </w:tc>
        <w:tc>
          <w:tcPr>
            <w:tcW w:type="dxa" w:w="4320"/>
          </w:tcPr>
          <w:p>
            <w:r>
              <w:rPr>
                <w:rFonts w:ascii="Calibri" w:hAnsi="Calibri"/>
                <w:sz w:val="22"/>
              </w:rPr>
              <w:t>August 5, 2026</w:t>
            </w:r>
          </w:p>
        </w:tc>
      </w:tr>
      <w:tr>
        <w:tc>
          <w:tcPr>
            <w:tcW w:type="dxa" w:w="4320"/>
          </w:tcPr>
          <w:p>
            <w:r>
              <w:rPr>
                <w:rFonts w:ascii="Calibri" w:hAnsi="Calibri"/>
                <w:b/>
                <w:sz w:val="22"/>
              </w:rPr>
              <w:t>Sector ETF Benchmark</w:t>
            </w:r>
          </w:p>
        </w:tc>
        <w:tc>
          <w:tcPr>
            <w:tcW w:type="dxa" w:w="4320"/>
          </w:tcPr>
          <w:p>
            <w:r>
              <w:rPr>
                <w:rFonts w:ascii="Calibri" w:hAnsi="Calibri"/>
                <w:sz w:val="22"/>
              </w:rPr>
              <w:t>XBI (SPDR S&amp;P Biotech ETF)</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sits at a beatable bar on both revenue ($3.68B) and adjusted EPS ($0.60–$0.62), and VTRS has beaten on both metrics in each of the last four quarters; the biggest swing factor is whether Greater China momentum sustained its Q1 acceleration or reverted toward the original low-single-digit full-year guide.</w:t>
      </w:r>
    </w:p>
    <w:p>
      <w:r>
        <w:rPr>
          <w:rFonts w:ascii="Calibri" w:hAnsi="Calibri"/>
          <w:color w:val="525866"/>
          <w:sz w:val="22"/>
        </w:rPr>
        <w:t xml:space="preserve">Heading into Q2 2026, the bar looks achievable: consensus revenue of ~$3.68B implies ~2.8% YoY growth, and adjusted EPS of ~$0.60–$0.62 is essentially flat to the year-ago $0.62 — a low hurdle for a company that beat by 13% in Q1. </w:t>
      </w:r>
      <w:r>
        <w:rPr>
          <w:rFonts w:ascii="Calibri" w:hAnsi="Calibri"/>
          <w:color w:val="525866"/>
          <w:sz w:val="22"/>
        </w:rPr>
        <w:t xml:space="preserve">Management's tone at the May 12 BofA Healthcare Conference was notably confident, reiterating the 2%-plus operational growth trend line, flagging $120M of net strategic-review savings flowing through 2026, and describing the business as being in a "really good spot" for the rest of the year. </w:t>
      </w:r>
      <w:r>
        <w:rPr>
          <w:rFonts w:ascii="Calibri" w:hAnsi="Calibri"/>
          <w:color w:val="525866"/>
          <w:sz w:val="22"/>
        </w:rPr>
        <w:t xml:space="preserve">Estimate revisions have been modestly positive since the Q1 print — Q2 2026 revenue consensus edged up from $3.65B to $3.68B — suggesting the Street is gradually giving credit to the China upgrade and cost savings, though the trajectory is not aggressive. </w:t>
      </w:r>
      <w:r>
        <w:rPr>
          <w:rFonts w:ascii="Calibri" w:hAnsi="Calibri"/>
          <w:color w:val="525866"/>
          <w:sz w:val="22"/>
        </w:rPr>
        <w:t xml:space="preserve">The stock has lagged meaningfully since Q1 earnings (+1.5% vs. XBI +14.5% and SPY +5.2%), implying the market has not priced in a beat and the valuation remains deeply discounted to pharma peers, leaving room for a positive re-rating if results confirm the growth inflection. </w:t>
      </w:r>
      <w:r>
        <w:rPr>
          <w:rFonts w:ascii="Calibri" w:hAnsi="Calibri"/>
          <w:color w:val="525866"/>
          <w:sz w:val="22"/>
        </w:rPr>
        <w:t xml:space="preserve">The key wildcard is </w:t>
      </w:r>
      <w:r>
        <w:rPr>
          <w:rFonts w:ascii="Calibri" w:hAnsi="Calibri"/>
          <w:b/>
          <w:color w:val="525866"/>
          <w:sz w:val="22"/>
        </w:rPr>
        <w:t>Greater China</w:t>
      </w:r>
      <w:r>
        <w:rPr>
          <w:rFonts w:ascii="Calibri" w:hAnsi="Calibri"/>
          <w:color w:val="525866"/>
          <w:sz w:val="22"/>
        </w:rPr>
        <w:t>: Q1 delivered 18% YoY growth (well above the original low-single-digit guide), and management upgraded the full-year China outlook to mid-to-high single digits — any sign of deceleration or policy-driven headwinds in Q2 would be the most likely source of a negative surprise, while a second consecutive strong quarter would be the most powerful upside catalyst.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low bar on both revenue (~$3.68B, +2.8% YoY) and adjusted EPS (~$0.60–$0.62, flat YoY) — well below Q1's beat magnitude; </w:t>
      </w:r>
      <w:r>
        <w:rPr>
          <w:rFonts w:ascii="Calibri" w:hAnsi="Calibri"/>
          <w:b/>
          <w:color w:val="525866"/>
          <w:sz w:val="22"/>
        </w:rPr>
        <w:t>Greater China revenue</w:t>
      </w:r>
      <w:r>
        <w:rPr>
          <w:rFonts w:ascii="Calibri" w:hAnsi="Calibri"/>
          <w:color w:val="525866"/>
          <w:sz w:val="22"/>
        </w:rPr>
        <w:t xml:space="preserve"> is the bigger swing factor given the upgraded full-year guide, while adjusted EBITDA margin is the secondary watch item given Q1's 10% EBITDA growth on only 3% revenue growth.</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Qtr)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$3.517B</w:t>
            </w:r>
          </w:p>
        </w:tc>
        <w:tc>
          <w:tcPr>
            <w:tcW w:type="dxa" w:w="1234"/>
          </w:tcPr>
          <w:p>
            <w:r>
              <w:rPr>
                <w:rFonts w:ascii="Calibri" w:hAnsi="Calibri"/>
                <w:sz w:val="22"/>
              </w:rPr>
              <w:t>$3.582B</w:t>
            </w:r>
          </w:p>
        </w:tc>
        <w:tc>
          <w:tcPr>
            <w:tcW w:type="dxa" w:w="1234"/>
          </w:tcPr>
          <w:p>
            <w:r>
              <w:rPr>
                <w:rFonts w:ascii="Calibri" w:hAnsi="Calibri"/>
                <w:sz w:val="22"/>
              </w:rPr>
              <w:t>$3.677B</w:t>
            </w:r>
          </w:p>
        </w:tc>
        <w:tc>
          <w:tcPr>
            <w:tcW w:type="dxa" w:w="1234"/>
          </w:tcPr>
          <w:p>
            <w:r>
              <w:rPr>
                <w:rFonts w:ascii="Calibri" w:hAnsi="Calibri"/>
                <w:sz w:val="22"/>
              </w:rPr>
              <w:t>+2.6%</w:t>
            </w:r>
          </w:p>
        </w:tc>
        <w:tc>
          <w:tcPr>
            <w:tcW w:type="dxa" w:w="1234"/>
          </w:tcPr>
          <w:p>
            <w:r>
              <w:rPr>
                <w:rFonts w:ascii="Calibri" w:hAnsi="Calibri"/>
                <w:sz w:val="22"/>
              </w:rPr>
              <w:t>$14.7–15.0B (FY)</w:t>
            </w:r>
          </w:p>
        </w:tc>
        <w:tc>
          <w:tcPr>
            <w:tcW w:type="dxa" w:w="1234"/>
          </w:tcPr>
          <w:p>
            <w:r>
              <w:rPr>
                <w:rFonts w:ascii="Calibri" w:hAnsi="Calibri"/>
                <w:sz w:val="22"/>
              </w:rPr>
              <w:t>~−0.5% vs. midpoint</w:t>
            </w:r>
          </w:p>
        </w:tc>
      </w:tr>
      <w:tr>
        <w:tc>
          <w:tcPr>
            <w:tcW w:type="dxa" w:w="1234"/>
          </w:tcPr>
          <w:p>
            <w:r>
              <w:rPr>
                <w:rFonts w:ascii="Calibri" w:hAnsi="Calibri"/>
                <w:sz w:val="22"/>
              </w:rPr>
              <w:t>Adjusted EBITDA ($B)</w:t>
            </w:r>
          </w:p>
        </w:tc>
        <w:tc>
          <w:tcPr>
            <w:tcW w:type="dxa" w:w="1234"/>
          </w:tcPr>
          <w:p>
            <w:r>
              <w:rPr>
                <w:rFonts w:ascii="Calibri" w:hAnsi="Calibri"/>
                <w:sz w:val="22"/>
              </w:rPr>
              <w:t>$1.050B</w:t>
            </w:r>
          </w:p>
        </w:tc>
        <w:tc>
          <w:tcPr>
            <w:tcW w:type="dxa" w:w="1234"/>
          </w:tcPr>
          <w:p>
            <w:r>
              <w:rPr>
                <w:rFonts w:ascii="Calibri" w:hAnsi="Calibri"/>
                <w:sz w:val="22"/>
              </w:rPr>
              <w:t>$1.079B</w:t>
            </w:r>
          </w:p>
        </w:tc>
        <w:tc>
          <w:tcPr>
            <w:tcW w:type="dxa" w:w="1234"/>
          </w:tcPr>
          <w:p>
            <w:r>
              <w:rPr>
                <w:rFonts w:ascii="Calibri" w:hAnsi="Calibri"/>
                <w:sz w:val="22"/>
              </w:rPr>
              <w:t>$1.079B</w:t>
            </w:r>
          </w:p>
        </w:tc>
        <w:tc>
          <w:tcPr>
            <w:tcW w:type="dxa" w:w="1234"/>
          </w:tcPr>
          <w:p>
            <w:r>
              <w:rPr>
                <w:rFonts w:ascii="Calibri" w:hAnsi="Calibri"/>
                <w:sz w:val="22"/>
              </w:rPr>
              <w:t>0.0%</w:t>
            </w:r>
          </w:p>
        </w:tc>
        <w:tc>
          <w:tcPr>
            <w:tcW w:type="dxa" w:w="1234"/>
          </w:tcPr>
          <w:p>
            <w:r>
              <w:rPr>
                <w:rFonts w:ascii="Calibri" w:hAnsi="Calibri"/>
                <w:sz w:val="22"/>
              </w:rPr>
              <w:t>$4.25–4.55B (FY)</w:t>
            </w:r>
          </w:p>
        </w:tc>
        <w:tc>
          <w:tcPr>
            <w:tcW w:type="dxa" w:w="1234"/>
          </w:tcPr>
          <w:p>
            <w:r>
              <w:rPr>
                <w:rFonts w:ascii="Calibri" w:hAnsi="Calibri"/>
                <w:sz w:val="22"/>
              </w:rPr>
              <w:t>~−1.5% vs. midpoint</w:t>
            </w:r>
          </w:p>
        </w:tc>
      </w:tr>
      <w:tr>
        <w:tc>
          <w:tcPr>
            <w:tcW w:type="dxa" w:w="1234"/>
          </w:tcPr>
          <w:p>
            <w:r>
              <w:rPr>
                <w:rFonts w:ascii="Calibri" w:hAnsi="Calibri"/>
                <w:sz w:val="22"/>
              </w:rPr>
              <w:t>Adj. EPS — Diluted ($)</w:t>
            </w:r>
          </w:p>
        </w:tc>
        <w:tc>
          <w:tcPr>
            <w:tcW w:type="dxa" w:w="1234"/>
          </w:tcPr>
          <w:p>
            <w:r>
              <w:rPr>
                <w:rFonts w:ascii="Calibri" w:hAnsi="Calibri"/>
                <w:sz w:val="22"/>
              </w:rPr>
              <w:t>$0.59</w:t>
            </w:r>
          </w:p>
        </w:tc>
        <w:tc>
          <w:tcPr>
            <w:tcW w:type="dxa" w:w="1234"/>
          </w:tcPr>
          <w:p>
            <w:r>
              <w:rPr>
                <w:rFonts w:ascii="Calibri" w:hAnsi="Calibri"/>
                <w:sz w:val="22"/>
              </w:rPr>
              <w:t>$0.62</w:t>
            </w:r>
          </w:p>
        </w:tc>
        <w:tc>
          <w:tcPr>
            <w:tcW w:type="dxa" w:w="1234"/>
          </w:tcPr>
          <w:p>
            <w:r>
              <w:rPr>
                <w:rFonts w:ascii="Calibri" w:hAnsi="Calibri"/>
                <w:sz w:val="22"/>
              </w:rPr>
              <w:t>$0.61</w:t>
            </w:r>
          </w:p>
        </w:tc>
        <w:tc>
          <w:tcPr>
            <w:tcW w:type="dxa" w:w="1234"/>
          </w:tcPr>
          <w:p>
            <w:r>
              <w:rPr>
                <w:rFonts w:ascii="Calibri" w:hAnsi="Calibri"/>
                <w:sz w:val="22"/>
              </w:rPr>
              <w:t>−1.6%</w:t>
            </w:r>
          </w:p>
        </w:tc>
        <w:tc>
          <w:tcPr>
            <w:tcW w:type="dxa" w:w="1234"/>
          </w:tcPr>
          <w:p>
            <w:r>
              <w:rPr>
                <w:rFonts w:ascii="Calibri" w:hAnsi="Calibri"/>
                <w:sz w:val="22"/>
              </w:rPr>
              <w:t>$2.35–2.55 (FY)</w:t>
            </w:r>
          </w:p>
        </w:tc>
        <w:tc>
          <w:tcPr>
            <w:tcW w:type="dxa" w:w="1234"/>
          </w:tcPr>
          <w:p>
            <w:r>
              <w:rPr>
                <w:rFonts w:ascii="Calibri" w:hAnsi="Calibri"/>
                <w:sz w:val="22"/>
              </w:rPr>
              <w:t>~−1.6% vs. midpoint</w:t>
            </w:r>
          </w:p>
        </w:tc>
      </w:tr>
      <w:tr>
        <w:tc>
          <w:tcPr>
            <w:tcW w:type="dxa" w:w="1234"/>
          </w:tcPr>
          <w:p>
            <w:r>
              <w:rPr>
                <w:rFonts w:ascii="Calibri" w:hAnsi="Calibri"/>
                <w:sz w:val="22"/>
              </w:rPr>
              <w:t>Free Cash Flow ($B)</w:t>
            </w:r>
          </w:p>
        </w:tc>
        <w:tc>
          <w:tcPr>
            <w:tcW w:type="dxa" w:w="1234"/>
          </w:tcPr>
          <w:p>
            <w:r>
              <w:rPr>
                <w:rFonts w:ascii="Calibri" w:hAnsi="Calibri"/>
                <w:sz w:val="22"/>
              </w:rPr>
              <w:t>$0.348B</w:t>
            </w:r>
          </w:p>
        </w:tc>
        <w:tc>
          <w:tcPr>
            <w:tcW w:type="dxa" w:w="1234"/>
          </w:tcPr>
          <w:p>
            <w:r>
              <w:rPr>
                <w:rFonts w:ascii="Calibri" w:hAnsi="Calibri"/>
                <w:sz w:val="22"/>
              </w:rPr>
              <w:t>$0.167B</w:t>
            </w:r>
          </w:p>
        </w:tc>
        <w:tc>
          <w:tcPr>
            <w:tcW w:type="dxa" w:w="1234"/>
          </w:tcPr>
          <w:p>
            <w:r>
              <w:rPr>
                <w:rFonts w:ascii="Calibri" w:hAnsi="Calibri"/>
                <w:sz w:val="22"/>
              </w:rPr>
              <w:t>$0.400B</w:t>
            </w:r>
          </w:p>
        </w:tc>
        <w:tc>
          <w:tcPr>
            <w:tcW w:type="dxa" w:w="1234"/>
          </w:tcPr>
          <w:p>
            <w:r>
              <w:rPr>
                <w:rFonts w:ascii="Calibri" w:hAnsi="Calibri"/>
                <w:sz w:val="22"/>
              </w:rPr>
              <w:t>+139%</w:t>
            </w:r>
          </w:p>
        </w:tc>
        <w:tc>
          <w:tcPr>
            <w:tcW w:type="dxa" w:w="1234"/>
          </w:tcPr>
          <w:p>
            <w:r>
              <w:rPr>
                <w:rFonts w:ascii="Calibri" w:hAnsi="Calibri"/>
                <w:sz w:val="22"/>
              </w:rPr>
              <w:t>&gt;$2.0B (FY)</w:t>
            </w:r>
          </w:p>
        </w:tc>
        <w:tc>
          <w:tcPr>
            <w:tcW w:type="dxa" w:w="1234"/>
          </w:tcPr>
          <w:p>
            <w:r>
              <w:rPr>
                <w:rFonts w:ascii="Calibri" w:hAnsi="Calibri"/>
                <w:sz w:val="22"/>
              </w:rPr>
              <w:t>N/A — FY only</w:t>
            </w:r>
          </w:p>
        </w:tc>
      </w:tr>
      <w:tr>
        <w:tc>
          <w:tcPr>
            <w:tcW w:type="dxa" w:w="1234"/>
          </w:tcPr>
          <w:p>
            <w:r>
              <w:rPr>
                <w:rFonts w:ascii="Calibri" w:hAnsi="Calibri"/>
                <w:sz w:val="22"/>
              </w:rPr>
              <w:t>Revenue — Greater China ($B)</w:t>
            </w:r>
          </w:p>
        </w:tc>
        <w:tc>
          <w:tcPr>
            <w:tcW w:type="dxa" w:w="1234"/>
          </w:tcPr>
          <w:p>
            <w:r>
              <w:rPr>
                <w:rFonts w:ascii="Calibri" w:hAnsi="Calibri"/>
                <w:sz w:val="22"/>
              </w:rPr>
              <w:t>$0.680B</w:t>
            </w:r>
          </w:p>
        </w:tc>
        <w:tc>
          <w:tcPr>
            <w:tcW w:type="dxa" w:w="1234"/>
          </w:tcPr>
          <w:p>
            <w:r>
              <w:rPr>
                <w:rFonts w:ascii="Calibri" w:hAnsi="Calibri"/>
                <w:sz w:val="22"/>
              </w:rPr>
              <w:t>$0.589B</w:t>
            </w:r>
          </w:p>
        </w:tc>
        <w:tc>
          <w:tcPr>
            <w:tcW w:type="dxa" w:w="1234"/>
          </w:tcPr>
          <w:p>
            <w:r>
              <w:rPr>
                <w:rFonts w:ascii="Calibri" w:hAnsi="Calibri"/>
                <w:sz w:val="22"/>
              </w:rPr>
              <w:t>$0.617B</w:t>
            </w:r>
          </w:p>
        </w:tc>
        <w:tc>
          <w:tcPr>
            <w:tcW w:type="dxa" w:w="1234"/>
          </w:tcPr>
          <w:p>
            <w:r>
              <w:rPr>
                <w:rFonts w:ascii="Calibri" w:hAnsi="Calibri"/>
                <w:sz w:val="22"/>
              </w:rPr>
              <w:t>+4.8%</w:t>
            </w:r>
          </w:p>
        </w:tc>
        <w:tc>
          <w:tcPr>
            <w:tcW w:type="dxa" w:w="1234"/>
          </w:tcPr>
          <w:p>
            <w:r>
              <w:rPr>
                <w:rFonts w:ascii="Calibri" w:hAnsi="Calibri"/>
                <w:sz w:val="22"/>
              </w:rPr>
              <w:t>Mid-to-high single digit growth (FY)</w:t>
            </w:r>
          </w:p>
        </w:tc>
        <w:tc>
          <w:tcPr>
            <w:tcW w:type="dxa" w:w="1234"/>
          </w:tcPr>
          <w:p>
            <w:r>
              <w:rPr>
                <w:rFonts w:ascii="Calibri" w:hAnsi="Calibri"/>
                <w:sz w:val="22"/>
              </w:rPr>
              <w:t>N/A — FY only</w:t>
            </w:r>
          </w:p>
        </w:tc>
      </w:tr>
      <w:tr>
        <w:tc>
          <w:tcPr>
            <w:tcW w:type="dxa" w:w="1234"/>
          </w:tcPr>
          <w:p>
            <w:r>
              <w:rPr>
                <w:rFonts w:ascii="Calibri" w:hAnsi="Calibri"/>
                <w:sz w:val="22"/>
              </w:rPr>
              <w:t>Revenue — Developed Markets ($B)</w:t>
            </w:r>
          </w:p>
        </w:tc>
        <w:tc>
          <w:tcPr>
            <w:tcW w:type="dxa" w:w="1234"/>
          </w:tcPr>
          <w:p>
            <w:r>
              <w:rPr>
                <w:rFonts w:ascii="Calibri" w:hAnsi="Calibri"/>
                <w:sz w:val="22"/>
              </w:rPr>
              <w:t>$2.021B</w:t>
            </w:r>
          </w:p>
        </w:tc>
        <w:tc>
          <w:tcPr>
            <w:tcW w:type="dxa" w:w="1234"/>
          </w:tcPr>
          <w:p>
            <w:r>
              <w:rPr>
                <w:rFonts w:ascii="Calibri" w:hAnsi="Calibri"/>
                <w:sz w:val="22"/>
              </w:rPr>
              <w:t>$2.119B</w:t>
            </w:r>
          </w:p>
        </w:tc>
        <w:tc>
          <w:tcPr>
            <w:tcW w:type="dxa" w:w="1234"/>
          </w:tcPr>
          <w:p>
            <w:r>
              <w:rPr>
                <w:rFonts w:ascii="Calibri" w:hAnsi="Calibri"/>
                <w:sz w:val="22"/>
              </w:rPr>
              <w:t>$2.182B</w:t>
            </w:r>
          </w:p>
        </w:tc>
        <w:tc>
          <w:tcPr>
            <w:tcW w:type="dxa" w:w="1234"/>
          </w:tcPr>
          <w:p>
            <w:r>
              <w:rPr>
                <w:rFonts w:ascii="Calibri" w:hAnsi="Calibri"/>
                <w:sz w:val="22"/>
              </w:rPr>
              <w:t>+3.0%</w:t>
            </w:r>
          </w:p>
        </w:tc>
        <w:tc>
          <w:tcPr>
            <w:tcW w:type="dxa" w:w="1234"/>
          </w:tcPr>
          <w:p>
            <w:r>
              <w:rPr>
                <w:rFonts w:ascii="Calibri" w:hAnsi="Calibri"/>
                <w:sz w:val="22"/>
              </w:rPr>
              <w:t>N/A — segment</w:t>
            </w:r>
          </w:p>
        </w:tc>
        <w:tc>
          <w:tcPr>
            <w:tcW w:type="dxa" w:w="1234"/>
          </w:tcPr>
          <w:p>
            <w:r>
              <w:rPr>
                <w:rFonts w:ascii="Calibri" w:hAnsi="Calibri"/>
                <w:sz w:val="22"/>
              </w:rPr>
              <w:t>N/A</w:t>
            </w:r>
          </w:p>
        </w:tc>
      </w:tr>
      <w:tr>
        <w:tc>
          <w:tcPr>
            <w:tcW w:type="dxa" w:w="1234"/>
          </w:tcPr>
          <w:p>
            <w:r>
              <w:rPr>
                <w:rFonts w:ascii="Calibri" w:hAnsi="Calibri"/>
                <w:sz w:val="22"/>
              </w:rPr>
              <w:t>Revenue — Emerging Markets ($B)</w:t>
            </w:r>
          </w:p>
        </w:tc>
        <w:tc>
          <w:tcPr>
            <w:tcW w:type="dxa" w:w="1234"/>
          </w:tcPr>
          <w:p>
            <w:r>
              <w:rPr>
                <w:rFonts w:ascii="Calibri" w:hAnsi="Calibri"/>
                <w:sz w:val="22"/>
              </w:rPr>
              <w:t>$0.535B</w:t>
            </w:r>
          </w:p>
        </w:tc>
        <w:tc>
          <w:tcPr>
            <w:tcW w:type="dxa" w:w="1234"/>
          </w:tcPr>
          <w:p>
            <w:r>
              <w:rPr>
                <w:rFonts w:ascii="Calibri" w:hAnsi="Calibri"/>
                <w:sz w:val="22"/>
              </w:rPr>
              <w:t>$0.555B</w:t>
            </w:r>
          </w:p>
        </w:tc>
        <w:tc>
          <w:tcPr>
            <w:tcW w:type="dxa" w:w="1234"/>
          </w:tcPr>
          <w:p>
            <w:r>
              <w:rPr>
                <w:rFonts w:ascii="Calibri" w:hAnsi="Calibri"/>
                <w:sz w:val="22"/>
              </w:rPr>
              <w:t>$0.575B</w:t>
            </w:r>
          </w:p>
        </w:tc>
        <w:tc>
          <w:tcPr>
            <w:tcW w:type="dxa" w:w="1234"/>
          </w:tcPr>
          <w:p>
            <w:r>
              <w:rPr>
                <w:rFonts w:ascii="Calibri" w:hAnsi="Calibri"/>
                <w:sz w:val="22"/>
              </w:rPr>
              <w:t>+3.5%</w:t>
            </w:r>
          </w:p>
        </w:tc>
        <w:tc>
          <w:tcPr>
            <w:tcW w:type="dxa" w:w="1234"/>
          </w:tcPr>
          <w:p>
            <w:r>
              <w:rPr>
                <w:rFonts w:ascii="Calibri" w:hAnsi="Calibri"/>
                <w:sz w:val="22"/>
              </w:rPr>
              <w:t>N/A — segment</w:t>
            </w:r>
          </w:p>
        </w:tc>
        <w:tc>
          <w:tcPr>
            <w:tcW w:type="dxa" w:w="1234"/>
          </w:tcPr>
          <w:p>
            <w:r>
              <w:rPr>
                <w:rFonts w:ascii="Calibri" w:hAnsi="Calibri"/>
                <w:sz w:val="22"/>
              </w:rPr>
              <w:t>N/A</w:t>
            </w:r>
          </w:p>
        </w:tc>
      </w:tr>
      <w:tr>
        <w:tc>
          <w:tcPr>
            <w:tcW w:type="dxa" w:w="1234"/>
          </w:tcPr>
          <w:p>
            <w:r>
              <w:rPr>
                <w:rFonts w:ascii="Calibri" w:hAnsi="Calibri"/>
                <w:sz w:val="22"/>
              </w:rPr>
              <w:t>Revenue — JANZ ($B)</w:t>
            </w:r>
          </w:p>
        </w:tc>
        <w:tc>
          <w:tcPr>
            <w:tcW w:type="dxa" w:w="1234"/>
          </w:tcPr>
          <w:p>
            <w:r>
              <w:rPr>
                <w:rFonts w:ascii="Calibri" w:hAnsi="Calibri"/>
                <w:sz w:val="22"/>
              </w:rPr>
              <w:t>$0.273B</w:t>
            </w:r>
          </w:p>
        </w:tc>
        <w:tc>
          <w:tcPr>
            <w:tcW w:type="dxa" w:w="1234"/>
          </w:tcPr>
          <w:p>
            <w:r>
              <w:rPr>
                <w:rFonts w:ascii="Calibri" w:hAnsi="Calibri"/>
                <w:sz w:val="22"/>
              </w:rPr>
              <w:t>$0.306B</w:t>
            </w:r>
          </w:p>
        </w:tc>
        <w:tc>
          <w:tcPr>
            <w:tcW w:type="dxa" w:w="1234"/>
          </w:tcPr>
          <w:p>
            <w:r>
              <w:rPr>
                <w:rFonts w:ascii="Calibri" w:hAnsi="Calibri"/>
                <w:sz w:val="22"/>
              </w:rPr>
              <w:t>$0.292B</w:t>
            </w:r>
          </w:p>
        </w:tc>
        <w:tc>
          <w:tcPr>
            <w:tcW w:type="dxa" w:w="1234"/>
          </w:tcPr>
          <w:p>
            <w:r>
              <w:rPr>
                <w:rFonts w:ascii="Calibri" w:hAnsi="Calibri"/>
                <w:sz w:val="22"/>
              </w:rPr>
              <w:t>−4.6%</w:t>
            </w:r>
          </w:p>
        </w:tc>
        <w:tc>
          <w:tcPr>
            <w:tcW w:type="dxa" w:w="1234"/>
          </w:tcPr>
          <w:p>
            <w:r>
              <w:rPr>
                <w:rFonts w:ascii="Calibri" w:hAnsi="Calibri"/>
                <w:sz w:val="22"/>
              </w:rPr>
              <w:t>N/A — segment</w:t>
            </w:r>
          </w:p>
        </w:tc>
        <w:tc>
          <w:tcPr>
            <w:tcW w:type="dxa" w:w="1234"/>
          </w:tcPr>
          <w:p>
            <w:r>
              <w:rPr>
                <w:rFonts w:ascii="Calibri" w:hAnsi="Calibri"/>
                <w:sz w:val="22"/>
              </w:rPr>
              <w:t>N/A</w:t>
            </w:r>
          </w:p>
        </w:tc>
      </w:tr>
    </w:tbl>
    <w:p>
      <w:r>
        <w:rPr>
          <w:rFonts w:ascii="Calibri" w:hAnsi="Calibri"/>
          <w:i/>
          <w:color w:val="525866"/>
          <w:sz w:val="22"/>
        </w:rPr>
        <w:t>Sources: Visible Alpha consensus and actuals data. FY 2026 guidance as stated on Q1 2026 earnings call (May 7, 2026). Greater China FY guidance upgraded from low-single-digit to mid-to-high single digit on Q1 call.</w:t>
      </w:r>
    </w:p>
    <w:p>
      <w:pPr>
        <w:pStyle w:val="Heading3"/>
      </w:pPr>
      <w:r>
        <w:rPr>
          <w:rFonts w:ascii="Calibri" w:hAnsi="Calibri"/>
          <w:b/>
          <w:color w:val="3B4259"/>
          <w:sz w:val="24"/>
        </w:rPr>
        <w:t>Table 2 — Beat/Miss History: Last 8 Quarters (Top 2 KPIs: Total Revenue &amp; Adjusted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$3.517B</w:t>
            </w:r>
          </w:p>
        </w:tc>
        <w:tc>
          <w:tcPr>
            <w:tcW w:type="dxa" w:w="1440"/>
          </w:tcPr>
          <w:p>
            <w:r>
              <w:rPr>
                <w:rFonts w:ascii="Calibri" w:hAnsi="Calibri"/>
                <w:sz w:val="22"/>
              </w:rPr>
              <w:t>$3.342B</w:t>
            </w:r>
          </w:p>
        </w:tc>
        <w:tc>
          <w:tcPr>
            <w:tcW w:type="dxa" w:w="1440"/>
          </w:tcPr>
          <w:p>
            <w:r>
              <w:rPr>
                <w:rFonts w:ascii="Calibri" w:hAnsi="Calibri"/>
                <w:b/>
                <w:color w:val="30A46C"/>
                <w:sz w:val="22"/>
              </w:rPr>
              <w:t>+5.2%</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$0.59</w:t>
            </w:r>
          </w:p>
        </w:tc>
        <w:tc>
          <w:tcPr>
            <w:tcW w:type="dxa" w:w="1440"/>
          </w:tcPr>
          <w:p>
            <w:r>
              <w:rPr>
                <w:rFonts w:ascii="Calibri" w:hAnsi="Calibri"/>
                <w:sz w:val="22"/>
              </w:rPr>
              <w:t>$0.50</w:t>
            </w:r>
          </w:p>
        </w:tc>
        <w:tc>
          <w:tcPr>
            <w:tcW w:type="dxa" w:w="1440"/>
          </w:tcPr>
          <w:p>
            <w:r>
              <w:rPr>
                <w:rFonts w:ascii="Calibri" w:hAnsi="Calibri"/>
                <w:b/>
                <w:color w:val="30A46C"/>
                <w:sz w:val="22"/>
              </w:rPr>
              <w:t>+18.0%</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$3.704B</w:t>
            </w:r>
          </w:p>
        </w:tc>
        <w:tc>
          <w:tcPr>
            <w:tcW w:type="dxa" w:w="1440"/>
          </w:tcPr>
          <w:p>
            <w:r>
              <w:rPr>
                <w:rFonts w:ascii="Calibri" w:hAnsi="Calibri"/>
                <w:sz w:val="22"/>
              </w:rPr>
              <w:t>$3.545B</w:t>
            </w:r>
          </w:p>
        </w:tc>
        <w:tc>
          <w:tcPr>
            <w:tcW w:type="dxa" w:w="1440"/>
          </w:tcPr>
          <w:p>
            <w:r>
              <w:rPr>
                <w:rFonts w:ascii="Calibri" w:hAnsi="Calibri"/>
                <w:b/>
                <w:color w:val="30A46C"/>
                <w:sz w:val="22"/>
              </w:rPr>
              <w:t>+4.5%</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$0.57</w:t>
            </w:r>
          </w:p>
        </w:tc>
        <w:tc>
          <w:tcPr>
            <w:tcW w:type="dxa" w:w="1440"/>
          </w:tcPr>
          <w:p>
            <w:r>
              <w:rPr>
                <w:rFonts w:ascii="Calibri" w:hAnsi="Calibri"/>
                <w:sz w:val="22"/>
              </w:rPr>
              <w:t>$0.54</w:t>
            </w:r>
          </w:p>
        </w:tc>
        <w:tc>
          <w:tcPr>
            <w:tcW w:type="dxa" w:w="1440"/>
          </w:tcPr>
          <w:p>
            <w:r>
              <w:rPr>
                <w:rFonts w:ascii="Calibri" w:hAnsi="Calibri"/>
                <w:b/>
                <w:color w:val="30A46C"/>
                <w:sz w:val="22"/>
              </w:rPr>
              <w:t>+6.6%</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$3.760B</w:t>
            </w:r>
          </w:p>
        </w:tc>
        <w:tc>
          <w:tcPr>
            <w:tcW w:type="dxa" w:w="1440"/>
          </w:tcPr>
          <w:p>
            <w:r>
              <w:rPr>
                <w:rFonts w:ascii="Calibri" w:hAnsi="Calibri"/>
                <w:sz w:val="22"/>
              </w:rPr>
              <w:t>$3.606B</w:t>
            </w:r>
          </w:p>
        </w:tc>
        <w:tc>
          <w:tcPr>
            <w:tcW w:type="dxa" w:w="1440"/>
          </w:tcPr>
          <w:p>
            <w:r>
              <w:rPr>
                <w:rFonts w:ascii="Calibri" w:hAnsi="Calibri"/>
                <w:b/>
                <w:color w:val="30A46C"/>
                <w:sz w:val="22"/>
              </w:rPr>
              <w:t>+4.3%</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$0.67</w:t>
            </w:r>
          </w:p>
        </w:tc>
        <w:tc>
          <w:tcPr>
            <w:tcW w:type="dxa" w:w="1440"/>
          </w:tcPr>
          <w:p>
            <w:r>
              <w:rPr>
                <w:rFonts w:ascii="Calibri" w:hAnsi="Calibri"/>
                <w:sz w:val="22"/>
              </w:rPr>
              <w:t>$0.63</w:t>
            </w:r>
          </w:p>
        </w:tc>
        <w:tc>
          <w:tcPr>
            <w:tcW w:type="dxa" w:w="1440"/>
          </w:tcPr>
          <w:p>
            <w:r>
              <w:rPr>
                <w:rFonts w:ascii="Calibri" w:hAnsi="Calibri"/>
                <w:b/>
                <w:color w:val="30A46C"/>
                <w:sz w:val="22"/>
              </w:rPr>
              <w:t>+6.9%</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$3.582B</w:t>
            </w:r>
          </w:p>
        </w:tc>
        <w:tc>
          <w:tcPr>
            <w:tcW w:type="dxa" w:w="1440"/>
          </w:tcPr>
          <w:p>
            <w:r>
              <w:rPr>
                <w:rFonts w:ascii="Calibri" w:hAnsi="Calibri"/>
                <w:sz w:val="22"/>
              </w:rPr>
              <w:t>$3.436B</w:t>
            </w:r>
          </w:p>
        </w:tc>
        <w:tc>
          <w:tcPr>
            <w:tcW w:type="dxa" w:w="1440"/>
          </w:tcPr>
          <w:p>
            <w:r>
              <w:rPr>
                <w:rFonts w:ascii="Calibri" w:hAnsi="Calibri"/>
                <w:b/>
                <w:color w:val="30A46C"/>
                <w:sz w:val="22"/>
              </w:rPr>
              <w:t>+4.2%</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$0.62</w:t>
            </w:r>
          </w:p>
        </w:tc>
        <w:tc>
          <w:tcPr>
            <w:tcW w:type="dxa" w:w="1440"/>
          </w:tcPr>
          <w:p>
            <w:r>
              <w:rPr>
                <w:rFonts w:ascii="Calibri" w:hAnsi="Calibri"/>
                <w:sz w:val="22"/>
              </w:rPr>
              <w:t>$0.55</w:t>
            </w:r>
          </w:p>
        </w:tc>
        <w:tc>
          <w:tcPr>
            <w:tcW w:type="dxa" w:w="1440"/>
          </w:tcPr>
          <w:p>
            <w:r>
              <w:rPr>
                <w:rFonts w:ascii="Calibri" w:hAnsi="Calibri"/>
                <w:b/>
                <w:color w:val="30A46C"/>
                <w:sz w:val="22"/>
              </w:rPr>
              <w:t>+12.2%</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N/A — not in VA window</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N/A — not in VA window</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bl>
    <w:p>
      <w:r>
        <w:rPr>
          <w:rFonts w:ascii="Calibri" w:hAnsi="Calibri"/>
          <w:b/>
          <w:color w:val="525866"/>
          <w:sz w:val="22"/>
        </w:rPr>
        <w:t xml:space="preserve">Pattern: </w:t>
      </w:r>
      <w:r>
        <w:rPr>
          <w:rFonts w:ascii="Calibri" w:hAnsi="Calibri"/>
          <w:i/>
          <w:color w:val="525866"/>
          <w:sz w:val="22"/>
        </w:rPr>
        <w:t>VTRS has beaten consensus on both Total Revenue and Adjusted EPS in each of the last four reported quarters, with revenue beats averaging ~4.5% and EPS beats averaging ~11% — a consistent pattern of conservative guidance and Street under-modeling that sets a low bar heading into Q2 2026.</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2026 guidance was reaffirmed on the Q1 call with one meaningful upgrade — Greater China growth outlook raised from low-single-digit to mid-to-high single digit; no subsequent formal guidance changes, but management tone at the May 12 BofA conference was constructively confident, reinforcing the 2%-plus operational growth trend and $120M net savings delivery.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Total Revenue</w:t>
            </w:r>
          </w:p>
        </w:tc>
        <w:tc>
          <w:tcPr>
            <w:tcW w:type="dxa" w:w="1728"/>
          </w:tcPr>
          <w:p>
            <w:r>
              <w:rPr>
                <w:rFonts w:ascii="Calibri" w:hAnsi="Calibri"/>
                <w:sz w:val="22"/>
              </w:rPr>
              <w:t>$14.7B–$15.0B</w:t>
            </w:r>
          </w:p>
        </w:tc>
        <w:tc>
          <w:tcPr>
            <w:tcW w:type="dxa" w:w="1728"/>
          </w:tcPr>
          <w:p>
            <w:r>
              <w:rPr>
                <w:rFonts w:ascii="Calibri" w:hAnsi="Calibri"/>
                <w:sz w:val="22"/>
              </w:rPr>
              <w:t>—</w:t>
            </w:r>
          </w:p>
        </w:tc>
        <w:tc>
          <w:tcPr>
            <w:tcW w:type="dxa" w:w="1728"/>
          </w:tcPr>
          <w:p>
            <w:r>
              <w:rPr>
                <w:rFonts w:ascii="Calibri" w:hAnsi="Calibri"/>
                <w:sz w:val="22"/>
              </w:rPr>
              <w:t>$14.80B</w:t>
            </w:r>
          </w:p>
        </w:tc>
        <w:tc>
          <w:tcPr>
            <w:tcW w:type="dxa" w:w="1728"/>
          </w:tcPr>
          <w:p>
            <w:r>
              <w:rPr>
                <w:rFonts w:ascii="Calibri" w:hAnsi="Calibri"/>
                <w:sz w:val="22"/>
              </w:rPr>
              <w:t>Reaffirmed; no post-earnings change. Consensus near low end of range.</w:t>
            </w:r>
          </w:p>
        </w:tc>
      </w:tr>
      <w:tr>
        <w:tc>
          <w:tcPr>
            <w:tcW w:type="dxa" w:w="1728"/>
          </w:tcPr>
          <w:p>
            <w:r>
              <w:rPr>
                <w:rFonts w:ascii="Calibri" w:hAnsi="Calibri"/>
                <w:sz w:val="22"/>
              </w:rPr>
              <w:t>FY 2026 Adjusted EBITDA</w:t>
            </w:r>
          </w:p>
        </w:tc>
        <w:tc>
          <w:tcPr>
            <w:tcW w:type="dxa" w:w="1728"/>
          </w:tcPr>
          <w:p>
            <w:r>
              <w:rPr>
                <w:rFonts w:ascii="Calibri" w:hAnsi="Calibri"/>
                <w:sz w:val="22"/>
              </w:rPr>
              <w:t>$4.25B–$4.55B</w:t>
            </w:r>
          </w:p>
        </w:tc>
        <w:tc>
          <w:tcPr>
            <w:tcW w:type="dxa" w:w="1728"/>
          </w:tcPr>
          <w:p>
            <w:r>
              <w:rPr>
                <w:rFonts w:ascii="Calibri" w:hAnsi="Calibri"/>
                <w:sz w:val="22"/>
              </w:rPr>
              <w:t>—</w:t>
            </w:r>
          </w:p>
        </w:tc>
        <w:tc>
          <w:tcPr>
            <w:tcW w:type="dxa" w:w="1728"/>
          </w:tcPr>
          <w:p>
            <w:r>
              <w:rPr>
                <w:rFonts w:ascii="Calibri" w:hAnsi="Calibri"/>
                <w:sz w:val="22"/>
              </w:rPr>
              <w:t>$4.39B</w:t>
            </w:r>
          </w:p>
        </w:tc>
        <w:tc>
          <w:tcPr>
            <w:tcW w:type="dxa" w:w="1728"/>
          </w:tcPr>
          <w:p>
            <w:r>
              <w:rPr>
                <w:rFonts w:ascii="Calibri" w:hAnsi="Calibri"/>
                <w:sz w:val="22"/>
              </w:rPr>
              <w:t>Reaffirmed; consensus near midpoint. $120M net savings from strategic review expected to flow through.</w:t>
            </w:r>
          </w:p>
        </w:tc>
      </w:tr>
      <w:tr>
        <w:tc>
          <w:tcPr>
            <w:tcW w:type="dxa" w:w="1728"/>
          </w:tcPr>
          <w:p>
            <w:r>
              <w:rPr>
                <w:rFonts w:ascii="Calibri" w:hAnsi="Calibri"/>
                <w:sz w:val="22"/>
              </w:rPr>
              <w:t>FY 2026 Adjusted EPS</w:t>
            </w:r>
          </w:p>
        </w:tc>
        <w:tc>
          <w:tcPr>
            <w:tcW w:type="dxa" w:w="1728"/>
          </w:tcPr>
          <w:p>
            <w:r>
              <w:rPr>
                <w:rFonts w:ascii="Calibri" w:hAnsi="Calibri"/>
                <w:sz w:val="22"/>
              </w:rPr>
              <w:t>$2.35–$2.55</w:t>
            </w:r>
          </w:p>
        </w:tc>
        <w:tc>
          <w:tcPr>
            <w:tcW w:type="dxa" w:w="1728"/>
          </w:tcPr>
          <w:p>
            <w:r>
              <w:rPr>
                <w:rFonts w:ascii="Calibri" w:hAnsi="Calibri"/>
                <w:sz w:val="22"/>
              </w:rPr>
              <w:t>—</w:t>
            </w:r>
          </w:p>
        </w:tc>
        <w:tc>
          <w:tcPr>
            <w:tcW w:type="dxa" w:w="1728"/>
          </w:tcPr>
          <w:p>
            <w:r>
              <w:rPr>
                <w:rFonts w:ascii="Calibri" w:hAnsi="Calibri"/>
                <w:sz w:val="22"/>
              </w:rPr>
              <w:t>$2.45</w:t>
            </w:r>
          </w:p>
        </w:tc>
        <w:tc>
          <w:tcPr>
            <w:tcW w:type="dxa" w:w="1728"/>
          </w:tcPr>
          <w:p>
            <w:r>
              <w:rPr>
                <w:rFonts w:ascii="Calibri" w:hAnsi="Calibri"/>
                <w:sz w:val="22"/>
              </w:rPr>
              <w:t>Reaffirmed; consensus at midpoint. Supported by buybacks and cost savings.</w:t>
            </w:r>
          </w:p>
        </w:tc>
      </w:tr>
      <w:tr>
        <w:tc>
          <w:tcPr>
            <w:tcW w:type="dxa" w:w="1728"/>
          </w:tcPr>
          <w:p>
            <w:r>
              <w:rPr>
                <w:rFonts w:ascii="Calibri" w:hAnsi="Calibri"/>
                <w:sz w:val="22"/>
              </w:rPr>
              <w:t>FY 2026 Free Cash Flow</w:t>
            </w:r>
          </w:p>
        </w:tc>
        <w:tc>
          <w:tcPr>
            <w:tcW w:type="dxa" w:w="1728"/>
          </w:tcPr>
          <w:p>
            <w:r>
              <w:rPr>
                <w:rFonts w:ascii="Calibri" w:hAnsi="Calibri"/>
                <w:sz w:val="22"/>
              </w:rPr>
              <w:t>&gt;$2.0B</w:t>
            </w:r>
          </w:p>
        </w:tc>
        <w:tc>
          <w:tcPr>
            <w:tcW w:type="dxa" w:w="1728"/>
          </w:tcPr>
          <w:p>
            <w:r>
              <w:rPr>
                <w:rFonts w:ascii="Calibri" w:hAnsi="Calibri"/>
                <w:sz w:val="22"/>
              </w:rPr>
              <w:t>—</w:t>
            </w:r>
          </w:p>
        </w:tc>
        <w:tc>
          <w:tcPr>
            <w:tcW w:type="dxa" w:w="1728"/>
          </w:tcPr>
          <w:p>
            <w:r>
              <w:rPr>
                <w:rFonts w:ascii="Calibri" w:hAnsi="Calibri"/>
                <w:sz w:val="22"/>
              </w:rPr>
              <w:t>$2.15B</w:t>
            </w:r>
          </w:p>
        </w:tc>
        <w:tc>
          <w:tcPr>
            <w:tcW w:type="dxa" w:w="1728"/>
          </w:tcPr>
          <w:p>
            <w:r>
              <w:rPr>
                <w:rFonts w:ascii="Calibri" w:hAnsi="Calibri"/>
                <w:sz w:val="22"/>
              </w:rPr>
              <w:t>Reaffirmed; H2 weighted due to working capital timing and step-down in one-time costs.</w:t>
            </w:r>
          </w:p>
        </w:tc>
      </w:tr>
      <w:tr>
        <w:tc>
          <w:tcPr>
            <w:tcW w:type="dxa" w:w="1728"/>
          </w:tcPr>
          <w:p>
            <w:r>
              <w:rPr>
                <w:rFonts w:ascii="Calibri" w:hAnsi="Calibri"/>
                <w:sz w:val="22"/>
              </w:rPr>
              <w:t>Greater China FY 2026 Growth</w:t>
            </w:r>
          </w:p>
        </w:tc>
        <w:tc>
          <w:tcPr>
            <w:tcW w:type="dxa" w:w="1728"/>
          </w:tcPr>
          <w:p>
            <w:r>
              <w:rPr>
                <w:rFonts w:ascii="Calibri" w:hAnsi="Calibri"/>
                <w:sz w:val="22"/>
              </w:rPr>
              <w:t>↑ Upgraded to mid-to-high single digit (from prior low-single-digit)</w:t>
            </w:r>
          </w:p>
        </w:tc>
        <w:tc>
          <w:tcPr>
            <w:tcW w:type="dxa" w:w="1728"/>
          </w:tcPr>
          <w:p>
            <w:r>
              <w:rPr>
                <w:rFonts w:ascii="Calibri" w:hAnsi="Calibri"/>
                <w:sz w:val="22"/>
              </w:rPr>
              <w:t>—</w:t>
            </w:r>
          </w:p>
        </w:tc>
        <w:tc>
          <w:tcPr>
            <w:tcW w:type="dxa" w:w="1728"/>
          </w:tcPr>
          <w:p>
            <w:r>
              <w:rPr>
                <w:rFonts w:ascii="Calibri" w:hAnsi="Calibri"/>
                <w:sz w:val="22"/>
              </w:rPr>
              <w:t>~$2.53B (FY)</w:t>
            </w:r>
          </w:p>
        </w:tc>
        <w:tc>
          <w:tcPr>
            <w:tcW w:type="dxa" w:w="1728"/>
          </w:tcPr>
          <w:p>
            <w:r>
              <w:rPr>
                <w:rFonts w:ascii="Calibri" w:hAnsi="Calibri"/>
                <w:sz w:val="22"/>
              </w:rPr>
              <w:t>↑ Raised on Q1 call; driven by e-commerce acceleration and cardiovascular demand. Key watch item for Q2.</w:t>
            </w:r>
          </w:p>
        </w:tc>
      </w:tr>
      <w:tr>
        <w:tc>
          <w:tcPr>
            <w:tcW w:type="dxa" w:w="1728"/>
          </w:tcPr>
          <w:p>
            <w:r>
              <w:rPr>
                <w:rFonts w:ascii="Calibri" w:hAnsi="Calibri"/>
                <w:sz w:val="22"/>
              </w:rPr>
              <w:t>H2 Revenue / EBITDA Weighting</w:t>
            </w:r>
          </w:p>
        </w:tc>
        <w:tc>
          <w:tcPr>
            <w:tcW w:type="dxa" w:w="1728"/>
          </w:tcPr>
          <w:p>
            <w:r>
              <w:rPr>
                <w:rFonts w:ascii="Calibri" w:hAnsi="Calibri"/>
                <w:sz w:val="22"/>
              </w:rPr>
              <w:t>~52% of FY in H2 (seasonality, new launches, opex ramp)</w:t>
            </w:r>
          </w:p>
        </w:tc>
        <w:tc>
          <w:tcPr>
            <w:tcW w:type="dxa" w:w="1728"/>
          </w:tcPr>
          <w:p>
            <w:r>
              <w:rPr>
                <w:rFonts w:ascii="Calibri" w:hAnsi="Calibri"/>
                <w:sz w:val="22"/>
              </w:rPr>
              <w:t>—</w:t>
            </w:r>
          </w:p>
        </w:tc>
        <w:tc>
          <w:tcPr>
            <w:tcW w:type="dxa" w:w="1728"/>
          </w:tcPr>
          <w:p>
            <w:r>
              <w:rPr>
                <w:rFonts w:ascii="Calibri" w:hAnsi="Calibri"/>
                <w:sz w:val="22"/>
              </w:rPr>
              <w:t>Consistent with guidance</w:t>
            </w:r>
          </w:p>
        </w:tc>
        <w:tc>
          <w:tcPr>
            <w:tcW w:type="dxa" w:w="1728"/>
          </w:tcPr>
          <w:p>
            <w:r>
              <w:rPr>
                <w:rFonts w:ascii="Calibri" w:hAnsi="Calibri"/>
                <w:sz w:val="22"/>
              </w:rPr>
              <w:t>Implies Q2 is a transition quarter; heavier contribution expected in Q3–Q4.</w:t>
            </w:r>
          </w:p>
        </w:tc>
      </w:tr>
      <w:tr>
        <w:tc>
          <w:tcPr>
            <w:tcW w:type="dxa" w:w="1728"/>
          </w:tcPr>
          <w:p>
            <w:r>
              <w:rPr>
                <w:rFonts w:ascii="Calibri" w:hAnsi="Calibri"/>
                <w:sz w:val="22"/>
              </w:rPr>
              <w:t>FX Tailwind</w:t>
            </w:r>
          </w:p>
        </w:tc>
        <w:tc>
          <w:tcPr>
            <w:tcW w:type="dxa" w:w="1728"/>
          </w:tcPr>
          <w:p>
            <w:r>
              <w:rPr>
                <w:rFonts w:ascii="Calibri" w:hAnsi="Calibri"/>
                <w:sz w:val="22"/>
              </w:rPr>
              <w:t>~1% incremental tailwind on revenue and EBITDA if current FX rates hold</w:t>
            </w:r>
          </w:p>
        </w:tc>
        <w:tc>
          <w:tcPr>
            <w:tcW w:type="dxa" w:w="1728"/>
          </w:tcPr>
          <w:p>
            <w:r>
              <w:rPr>
                <w:rFonts w:ascii="Calibri" w:hAnsi="Calibri"/>
                <w:sz w:val="22"/>
              </w:rPr>
              <w:t>—</w:t>
            </w:r>
          </w:p>
        </w:tc>
        <w:tc>
          <w:tcPr>
            <w:tcW w:type="dxa" w:w="1728"/>
          </w:tcPr>
          <w:p>
            <w:r>
              <w:rPr>
                <w:rFonts w:ascii="Calibri" w:hAnsi="Calibri"/>
                <w:sz w:val="22"/>
              </w:rPr>
              <w:t>Embedded in consensus</w:t>
            </w:r>
          </w:p>
        </w:tc>
        <w:tc>
          <w:tcPr>
            <w:tcW w:type="dxa" w:w="1728"/>
          </w:tcPr>
          <w:p>
            <w:r>
              <w:rPr>
                <w:rFonts w:ascii="Calibri" w:hAnsi="Calibri"/>
                <w:sz w:val="22"/>
              </w:rPr>
              <w:t>Stated on Q1 call; EUR/JPY moves since May could shift this modestly.</w:t>
            </w:r>
          </w:p>
        </w:tc>
      </w:tr>
    </w:tbl>
    <w:p>
      <w:r>
        <w:rPr>
          <w:rFonts w:ascii="Calibri" w:hAnsi="Calibri"/>
          <w:i/>
          <w:color w:val="525866"/>
          <w:sz w:val="22"/>
        </w:rPr>
        <w:t>Source: Q1 2026 Earnings Call (May 7, 2026); Bank of America Healthcare Conference (May 12, 2026); Visible Alpha consensus.</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modestly higher since the Q1 print — Q2 2026 revenue consensus is up ~$30M and FY 2026 revenue up ~$70M from the post-Q1 baseline — suggesting the Street is gradually incorporating the China upgrade and cost savings, but revisions are not aggressive; the gap between consensus and guidance midpoints is narrow, leaving limited cushion if execution disappoints.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(May 12,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$3.647B</w:t>
            </w:r>
          </w:p>
        </w:tc>
        <w:tc>
          <w:tcPr>
            <w:tcW w:type="dxa" w:w="1080"/>
          </w:tcPr>
          <w:p>
            <w:r>
              <w:rPr>
                <w:rFonts w:ascii="Calibri" w:hAnsi="Calibri"/>
                <w:sz w:val="22"/>
              </w:rPr>
              <w:t>$3.677B</w:t>
            </w:r>
          </w:p>
        </w:tc>
        <w:tc>
          <w:tcPr>
            <w:tcW w:type="dxa" w:w="1080"/>
          </w:tcPr>
          <w:p>
            <w:r>
              <w:rPr>
                <w:rFonts w:ascii="Calibri" w:hAnsi="Calibri"/>
                <w:b/>
                <w:color w:val="30A46C"/>
                <w:sz w:val="22"/>
              </w:rPr>
              <w:t>+0.8%</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$14.733B</w:t>
            </w:r>
          </w:p>
        </w:tc>
        <w:tc>
          <w:tcPr>
            <w:tcW w:type="dxa" w:w="1080"/>
          </w:tcPr>
          <w:p>
            <w:r>
              <w:rPr>
                <w:rFonts w:ascii="Calibri" w:hAnsi="Calibri"/>
                <w:sz w:val="22"/>
              </w:rPr>
              <w:t>$14.802B</w:t>
            </w:r>
          </w:p>
        </w:tc>
        <w:tc>
          <w:tcPr>
            <w:tcW w:type="dxa" w:w="1080"/>
          </w:tcPr>
          <w:p>
            <w:r>
              <w:rPr>
                <w:rFonts w:ascii="Calibri" w:hAnsi="Calibri"/>
                <w:b/>
                <w:color w:val="30A46C"/>
                <w:sz w:val="22"/>
              </w:rPr>
              <w:t>+0.5%</w:t>
            </w:r>
          </w:p>
        </w:tc>
        <w:tc>
          <w:tcPr>
            <w:tcW w:type="dxa" w:w="1080"/>
          </w:tcPr>
          <w:p>
            <w:r>
              <w:rPr>
                <w:rFonts w:ascii="Calibri" w:hAnsi="Calibri"/>
                <w:sz w:val="22"/>
              </w:rPr>
              <w:t>$14.7B–$15.0B</w:t>
            </w:r>
          </w:p>
        </w:tc>
        <w:tc>
          <w:tcPr>
            <w:tcW w:type="dxa" w:w="1080"/>
          </w:tcPr>
          <w:p>
            <w:r>
              <w:rPr>
                <w:rFonts w:ascii="Calibri" w:hAnsi="Calibri"/>
                <w:sz w:val="22"/>
              </w:rPr>
              <w:t>$14.7B–$15.0B (unchanged)</w:t>
            </w:r>
          </w:p>
        </w:tc>
        <w:tc>
          <w:tcPr>
            <w:tcW w:type="dxa" w:w="1080"/>
          </w:tcPr>
          <w:p>
            <w:r>
              <w:rPr>
                <w:rFonts w:ascii="Calibri" w:hAnsi="Calibri"/>
                <w:sz w:val="22"/>
              </w:rPr>
              <w:t>Unchanged</w:t>
            </w:r>
          </w:p>
        </w:tc>
        <w:tc>
          <w:tcPr>
            <w:tcW w:type="dxa" w:w="1080"/>
          </w:tcPr>
          <w:p>
            <w:r>
              <w:rPr>
                <w:rFonts w:ascii="Calibri" w:hAnsi="Calibri"/>
                <w:sz w:val="22"/>
              </w:rPr>
              <w:t>−0.7% vs. midpoint ($14.85B)</w:t>
            </w:r>
          </w:p>
        </w:tc>
      </w:tr>
      <w:tr>
        <w:tc>
          <w:tcPr>
            <w:tcW w:type="dxa" w:w="1080"/>
          </w:tcPr>
          <w:p>
            <w:r>
              <w:rPr>
                <w:rFonts w:ascii="Calibri" w:hAnsi="Calibri"/>
                <w:sz w:val="22"/>
              </w:rPr>
              <w:t>Adj. EBITDA — Q2 2026</w:t>
            </w:r>
          </w:p>
        </w:tc>
        <w:tc>
          <w:tcPr>
            <w:tcW w:type="dxa" w:w="1080"/>
          </w:tcPr>
          <w:p>
            <w:r>
              <w:rPr>
                <w:rFonts w:ascii="Calibri" w:hAnsi="Calibri"/>
                <w:sz w:val="22"/>
              </w:rPr>
              <w:t>$1.063B</w:t>
            </w:r>
          </w:p>
        </w:tc>
        <w:tc>
          <w:tcPr>
            <w:tcW w:type="dxa" w:w="1080"/>
          </w:tcPr>
          <w:p>
            <w:r>
              <w:rPr>
                <w:rFonts w:ascii="Calibri" w:hAnsi="Calibri"/>
                <w:sz w:val="22"/>
              </w:rPr>
              <w:t>$1.079B</w:t>
            </w:r>
          </w:p>
        </w:tc>
        <w:tc>
          <w:tcPr>
            <w:tcW w:type="dxa" w:w="1080"/>
          </w:tcPr>
          <w:p>
            <w:r>
              <w:rPr>
                <w:rFonts w:ascii="Calibri" w:hAnsi="Calibri"/>
                <w:b/>
                <w:color w:val="30A46C"/>
                <w:sz w:val="22"/>
              </w:rPr>
              <w:t>+1.5%</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FY 2026</w:t>
            </w:r>
          </w:p>
        </w:tc>
        <w:tc>
          <w:tcPr>
            <w:tcW w:type="dxa" w:w="1080"/>
          </w:tcPr>
          <w:p>
            <w:r>
              <w:rPr>
                <w:rFonts w:ascii="Calibri" w:hAnsi="Calibri"/>
                <w:sz w:val="22"/>
              </w:rPr>
              <w:t>$4.350B</w:t>
            </w:r>
          </w:p>
        </w:tc>
        <w:tc>
          <w:tcPr>
            <w:tcW w:type="dxa" w:w="1080"/>
          </w:tcPr>
          <w:p>
            <w:r>
              <w:rPr>
                <w:rFonts w:ascii="Calibri" w:hAnsi="Calibri"/>
                <w:sz w:val="22"/>
              </w:rPr>
              <w:t>$4.386B</w:t>
            </w:r>
          </w:p>
        </w:tc>
        <w:tc>
          <w:tcPr>
            <w:tcW w:type="dxa" w:w="1080"/>
          </w:tcPr>
          <w:p>
            <w:r>
              <w:rPr>
                <w:rFonts w:ascii="Calibri" w:hAnsi="Calibri"/>
                <w:b/>
                <w:color w:val="30A46C"/>
                <w:sz w:val="22"/>
              </w:rPr>
              <w:t>+0.8%</w:t>
            </w:r>
          </w:p>
        </w:tc>
        <w:tc>
          <w:tcPr>
            <w:tcW w:type="dxa" w:w="1080"/>
          </w:tcPr>
          <w:p>
            <w:r>
              <w:rPr>
                <w:rFonts w:ascii="Calibri" w:hAnsi="Calibri"/>
                <w:sz w:val="22"/>
              </w:rPr>
              <w:t>$4.25B–$4.55B</w:t>
            </w:r>
          </w:p>
        </w:tc>
        <w:tc>
          <w:tcPr>
            <w:tcW w:type="dxa" w:w="1080"/>
          </w:tcPr>
          <w:p>
            <w:r>
              <w:rPr>
                <w:rFonts w:ascii="Calibri" w:hAnsi="Calibri"/>
                <w:sz w:val="22"/>
              </w:rPr>
              <w:t>$4.25B–$4.55B (unchanged)</w:t>
            </w:r>
          </w:p>
        </w:tc>
        <w:tc>
          <w:tcPr>
            <w:tcW w:type="dxa" w:w="1080"/>
          </w:tcPr>
          <w:p>
            <w:r>
              <w:rPr>
                <w:rFonts w:ascii="Calibri" w:hAnsi="Calibri"/>
                <w:sz w:val="22"/>
              </w:rPr>
              <w:t>Unchanged</w:t>
            </w:r>
          </w:p>
        </w:tc>
        <w:tc>
          <w:tcPr>
            <w:tcW w:type="dxa" w:w="1080"/>
          </w:tcPr>
          <w:p>
            <w:r>
              <w:rPr>
                <w:rFonts w:ascii="Calibri" w:hAnsi="Calibri"/>
                <w:sz w:val="22"/>
              </w:rPr>
              <w:t>−1.6% vs. midpoint ($4.40B)</w:t>
            </w:r>
          </w:p>
        </w:tc>
      </w:tr>
      <w:tr>
        <w:tc>
          <w:tcPr>
            <w:tcW w:type="dxa" w:w="1080"/>
          </w:tcPr>
          <w:p>
            <w:r>
              <w:rPr>
                <w:rFonts w:ascii="Calibri" w:hAnsi="Calibri"/>
                <w:sz w:val="22"/>
              </w:rPr>
              <w:t>Adj. EPS — Q2 2026</w:t>
            </w:r>
          </w:p>
        </w:tc>
        <w:tc>
          <w:tcPr>
            <w:tcW w:type="dxa" w:w="1080"/>
          </w:tcPr>
          <w:p>
            <w:r>
              <w:rPr>
                <w:rFonts w:ascii="Calibri" w:hAnsi="Calibri"/>
                <w:sz w:val="22"/>
              </w:rPr>
              <w:t>$0.598</w:t>
            </w:r>
          </w:p>
        </w:tc>
        <w:tc>
          <w:tcPr>
            <w:tcW w:type="dxa" w:w="1080"/>
          </w:tcPr>
          <w:p>
            <w:r>
              <w:rPr>
                <w:rFonts w:ascii="Calibri" w:hAnsi="Calibri"/>
                <w:sz w:val="22"/>
              </w:rPr>
              <w:t>$0.606</w:t>
            </w:r>
          </w:p>
        </w:tc>
        <w:tc>
          <w:tcPr>
            <w:tcW w:type="dxa" w:w="1080"/>
          </w:tcPr>
          <w:p>
            <w:r>
              <w:rPr>
                <w:rFonts w:ascii="Calibri" w:hAnsi="Calibri"/>
                <w:b/>
                <w:color w:val="30A46C"/>
                <w:sz w:val="22"/>
              </w:rPr>
              <w:t>+1.3%</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$2.462</w:t>
            </w:r>
          </w:p>
        </w:tc>
        <w:tc>
          <w:tcPr>
            <w:tcW w:type="dxa" w:w="1080"/>
          </w:tcPr>
          <w:p>
            <w:r>
              <w:rPr>
                <w:rFonts w:ascii="Calibri" w:hAnsi="Calibri"/>
                <w:sz w:val="22"/>
              </w:rPr>
              <w:t>$2.454</w:t>
            </w:r>
          </w:p>
        </w:tc>
        <w:tc>
          <w:tcPr>
            <w:tcW w:type="dxa" w:w="1080"/>
          </w:tcPr>
          <w:p>
            <w:r>
              <w:rPr>
                <w:rFonts w:ascii="Calibri" w:hAnsi="Calibri"/>
                <w:b/>
                <w:color w:val="E5484D"/>
                <w:sz w:val="22"/>
              </w:rPr>
              <w:t>−0.3%</w:t>
            </w:r>
          </w:p>
        </w:tc>
        <w:tc>
          <w:tcPr>
            <w:tcW w:type="dxa" w:w="1080"/>
          </w:tcPr>
          <w:p>
            <w:r>
              <w:rPr>
                <w:rFonts w:ascii="Calibri" w:hAnsi="Calibri"/>
                <w:sz w:val="22"/>
              </w:rPr>
              <w:t>$2.35–$2.55</w:t>
            </w:r>
          </w:p>
        </w:tc>
        <w:tc>
          <w:tcPr>
            <w:tcW w:type="dxa" w:w="1080"/>
          </w:tcPr>
          <w:p>
            <w:r>
              <w:rPr>
                <w:rFonts w:ascii="Calibri" w:hAnsi="Calibri"/>
                <w:sz w:val="22"/>
              </w:rPr>
              <w:t>$2.35–$2.55 (unchanged)</w:t>
            </w:r>
          </w:p>
        </w:tc>
        <w:tc>
          <w:tcPr>
            <w:tcW w:type="dxa" w:w="1080"/>
          </w:tcPr>
          <w:p>
            <w:r>
              <w:rPr>
                <w:rFonts w:ascii="Calibri" w:hAnsi="Calibri"/>
                <w:sz w:val="22"/>
              </w:rPr>
              <w:t>Unchanged</w:t>
            </w:r>
          </w:p>
        </w:tc>
        <w:tc>
          <w:tcPr>
            <w:tcW w:type="dxa" w:w="1080"/>
          </w:tcPr>
          <w:p>
            <w:r>
              <w:rPr>
                <w:rFonts w:ascii="Calibri" w:hAnsi="Calibri"/>
                <w:sz w:val="22"/>
              </w:rPr>
              <w:t>−1.8% vs. midpoint ($2.45)</w:t>
            </w:r>
          </w:p>
        </w:tc>
      </w:tr>
      <w:tr>
        <w:tc>
          <w:tcPr>
            <w:tcW w:type="dxa" w:w="1080"/>
          </w:tcPr>
          <w:p>
            <w:r>
              <w:rPr>
                <w:rFonts w:ascii="Calibri" w:hAnsi="Calibri"/>
                <w:sz w:val="22"/>
              </w:rPr>
              <w:t>China Revenue — FY 2026</w:t>
            </w:r>
          </w:p>
        </w:tc>
        <w:tc>
          <w:tcPr>
            <w:tcW w:type="dxa" w:w="1080"/>
          </w:tcPr>
          <w:p>
            <w:r>
              <w:rPr>
                <w:rFonts w:ascii="Calibri" w:hAnsi="Calibri"/>
                <w:sz w:val="22"/>
              </w:rPr>
              <w:t>$2.604B</w:t>
            </w:r>
          </w:p>
        </w:tc>
        <w:tc>
          <w:tcPr>
            <w:tcW w:type="dxa" w:w="1080"/>
          </w:tcPr>
          <w:p>
            <w:r>
              <w:rPr>
                <w:rFonts w:ascii="Calibri" w:hAnsi="Calibri"/>
                <w:sz w:val="22"/>
              </w:rPr>
              <w:t>$2.526B</w:t>
            </w:r>
          </w:p>
        </w:tc>
        <w:tc>
          <w:tcPr>
            <w:tcW w:type="dxa" w:w="1080"/>
          </w:tcPr>
          <w:p>
            <w:r>
              <w:rPr>
                <w:rFonts w:ascii="Calibri" w:hAnsi="Calibri"/>
                <w:b/>
                <w:color w:val="E5484D"/>
                <w:sz w:val="22"/>
              </w:rPr>
              <w:t>−3.0%</w:t>
            </w:r>
          </w:p>
        </w:tc>
        <w:tc>
          <w:tcPr>
            <w:tcW w:type="dxa" w:w="1080"/>
          </w:tcPr>
          <w:p>
            <w:r>
              <w:rPr>
                <w:rFonts w:ascii="Calibri" w:hAnsi="Calibri"/>
                <w:sz w:val="22"/>
              </w:rPr>
              <w:t>Mid-to-high single digit growth</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Consensus below upgraded guide — potential upside if Q2 China sustains</w:t>
            </w:r>
          </w:p>
        </w:tc>
      </w:tr>
    </w:tbl>
    <w:p>
      <w:r>
        <w:rPr>
          <w:rFonts w:ascii="Calibri" w:hAnsi="Calibri"/>
          <w:i/>
          <w:color w:val="525866"/>
          <w:sz w:val="22"/>
        </w:rPr>
        <w:t>Estimates have drifted modestly higher on revenue and EBITDA since the Q1 print, consistent with the China upgrade and cost savings narrative, but the Street has not fully embraced the upgraded China guide — FY China consensus of $2.53B implies only ~5% growth vs. the mid-to-high single digit guide, leaving room for upside if Q2 China momentum holds. FY EPS consensus has edged slightly lower, likely reflecting FX and CFO transition uncertainty.</w:t>
      </w:r>
    </w:p>
    <w:p>
      <w:r>
        <w:rPr>
          <w:rFonts w:ascii="Calibri" w:hAnsi="Calibri"/>
          <w:i/>
          <w:color w:val="525866"/>
          <w:sz w:val="22"/>
        </w:rPr>
        <w:t>Source: Visible Alpha consensus and actuals data. Post-Q1 baseline as of May 12,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VTRS has significantly underperformed both the biotech sector (XBI +14.5%) and the broader market (SPY +5.2%) since Q1 earnings, gaining only +1.5% despite a strong beat — suggesting the market is not yet giving credit to the growth inflection, driven by sentiment/multiple compression rather than estimate revisions, and leaving the stock with meaningful re-rating potential if Q2 confirms the trend.</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VTRS vs. XBI (Biotech ETF) vs. S&amp;P 500 (SPY) — Indexed to 100 at Q1 2026 Earnings (May 7, 2026). Since Q1 Earnings: VTRS +1.5% | XBI +14.5% | SPY +5.2%. Vertical lines mark material events: BofA Healthcare Conference (May 12), EUR 650M Debt Offering (June 18), JPY 40B Term Loan Refinancing (July 1). Source: Yahoo Finance.</w:t>
      </w:r>
    </w:p>
    <w:p>
      <w:pPr>
        <w:pStyle w:val="ListBullet"/>
        <w:ind w:left="360" w:hanging="360"/>
      </w:pPr>
      <w:r>
        <w:rPr>
          <w:rFonts w:ascii="Calibri" w:hAnsi="Calibri"/>
          <w:b/>
          <w:color w:val="525866"/>
          <w:sz w:val="22"/>
        </w:rPr>
        <w:t>VTRS +1.5% since Q1 earnings vs. XBI +14.5% and SPY +5.2%</w:t>
      </w:r>
      <w:r>
        <w:rPr>
          <w:rFonts w:ascii="Calibri" w:hAnsi="Calibri"/>
          <w:color w:val="525866"/>
          <w:sz w:val="22"/>
        </w:rPr>
        <w:t xml:space="preserve"> — the stock has dramatically underperformed despite a strong Q1 beat, indicating the market is skeptical of the sustainability of the growth inflection.</w:t>
      </w:r>
    </w:p>
    <w:p>
      <w:pPr>
        <w:pStyle w:val="ListBullet"/>
        <w:ind w:left="360" w:hanging="360"/>
      </w:pPr>
      <w:r>
        <w:rPr>
          <w:rFonts w:ascii="Calibri" w:hAnsi="Calibri"/>
          <w:b/>
          <w:color w:val="525866"/>
          <w:sz w:val="22"/>
        </w:rPr>
        <w:t>The underperformance is multiple-driven, not estimate-driven</w:t>
      </w:r>
      <w:r>
        <w:rPr>
          <w:rFonts w:ascii="Calibri" w:hAnsi="Calibri"/>
          <w:color w:val="525866"/>
          <w:sz w:val="22"/>
        </w:rPr>
        <w:t>: revenue and EBITDA estimates have actually edged higher since Q1, yet the stock has barely moved, suggesting sentiment and valuation discount are the primary drag.</w:t>
      </w:r>
    </w:p>
    <w:p>
      <w:pPr>
        <w:pStyle w:val="ListBullet"/>
        <w:ind w:left="360" w:hanging="360"/>
      </w:pPr>
      <w:r>
        <w:rPr>
          <w:rFonts w:ascii="Calibri" w:hAnsi="Calibri"/>
          <w:b/>
          <w:color w:val="525866"/>
          <w:sz w:val="22"/>
        </w:rPr>
        <w:t>VTRS trades at a deep discount to pharma peers</w:t>
      </w:r>
      <w:r>
        <w:rPr>
          <w:rFonts w:ascii="Calibri" w:hAnsi="Calibri"/>
          <w:color w:val="525866"/>
          <w:sz w:val="22"/>
        </w:rPr>
        <w:t xml:space="preserve"> on P/S (~1.2x vs. peer average ~3.8x) and EV/EBITDA, reflecting market skepticism about the durability of the turnaround and pipeline commercialization.</w:t>
      </w:r>
    </w:p>
    <w:p>
      <w:pPr>
        <w:pStyle w:val="ListBullet"/>
        <w:ind w:left="360" w:hanging="360"/>
      </w:pPr>
      <w:r>
        <w:rPr>
          <w:rFonts w:ascii="Calibri" w:hAnsi="Calibri"/>
          <w:b/>
          <w:color w:val="525866"/>
          <w:sz w:val="22"/>
        </w:rPr>
        <w:t>The stock dipped to ~$15.37 in mid-June</w:t>
      </w:r>
      <w:r>
        <w:rPr>
          <w:rFonts w:ascii="Calibri" w:hAnsi="Calibri"/>
          <w:color w:val="525866"/>
          <w:sz w:val="22"/>
        </w:rPr>
        <w:t xml:space="preserve"> (its post-Q1 low) before recovering to ~$17.65 by early August, suggesting some stabilization as the debt refinancing and term loan transactions were completed without incident.</w:t>
      </w:r>
    </w:p>
    <w:p>
      <w:pPr>
        <w:pStyle w:val="ListBullet"/>
        <w:ind w:left="360" w:hanging="360"/>
      </w:pPr>
      <w:r>
        <w:rPr>
          <w:rFonts w:ascii="Calibri" w:hAnsi="Calibri"/>
          <w:b/>
          <w:color w:val="525866"/>
          <w:sz w:val="22"/>
        </w:rPr>
        <w:t>XBI's +14.5% outperformance</w:t>
      </w:r>
      <w:r>
        <w:rPr>
          <w:rFonts w:ascii="Calibri" w:hAnsi="Calibri"/>
          <w:color w:val="525866"/>
          <w:sz w:val="22"/>
        </w:rPr>
        <w:t xml:space="preserve"> reflects a broader biotech sector rally driven by M&amp;A activity and pipeline catalysts — VTRS has not participated, consistent with its hybrid generics/brands positioning being viewed as less leveraged to biotech sentiment.</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completion of two debt refinancing transactions (EUR 650M notes offering + JPY 40B term loan refi) that extend the maturity profile and reduce near-term liquidity risk — a positive for credit quality heading into the print; the XULANE LO PDUFA date of July 30, 2026 is the most immediate pipeline catalyst.</w:t>
      </w:r>
    </w:p>
    <w:p>
      <w:pPr>
        <w:pStyle w:val="ListBullet"/>
        <w:ind w:left="360" w:hanging="360"/>
      </w:pPr>
      <w:r>
        <w:rPr>
          <w:rFonts w:ascii="Calibri" w:hAnsi="Calibri"/>
          <w:b/>
          <w:color w:val="525866"/>
          <w:sz w:val="22"/>
        </w:rPr>
        <w:t>July 30, 2026 — XULANE LO (low-dose estrogen contraceptive patch) PDUFA date.</w:t>
      </w:r>
      <w:r>
        <w:rPr>
          <w:rFonts w:ascii="Calibri" w:hAnsi="Calibri"/>
          <w:color w:val="525866"/>
          <w:sz w:val="22"/>
        </w:rPr>
        <w:t xml:space="preserve"> FDA decision expected on or around July 30. Approval would be the second of six anticipated 2026 regulatory decisions and could contribute to H2 new product revenue. Peak sales potential for the contraceptive patch portfolio (two products) is &gt;$300M collectively.</w:t>
      </w:r>
    </w:p>
    <w:p>
      <w:pPr>
        <w:pStyle w:val="ListBullet"/>
        <w:ind w:left="360" w:hanging="360"/>
      </w:pPr>
      <w:r>
        <w:rPr>
          <w:rFonts w:ascii="Calibri" w:hAnsi="Calibri"/>
          <w:b/>
          <w:color w:val="525866"/>
          <w:sz w:val="22"/>
        </w:rPr>
        <w:t>July 1, 2026 — JPY 40 Billion Term Loan Refinancing (8-K).</w:t>
      </w:r>
      <w:r>
        <w:rPr>
          <w:rFonts w:ascii="Calibri" w:hAnsi="Calibri"/>
          <w:color w:val="525866"/>
          <w:sz w:val="22"/>
        </w:rPr>
        <w:t xml:space="preserve"> Viatris entered an amended and restated term loan credit agreement with Mizuho Bank for ¥40B (3-year maturity, TIBO Rate + 1.10%), refinancing the prior ¥40B facility due July 2021. </w:t>
      </w:r>
      <w:r>
        <w:rPr>
          <w:rFonts w:ascii="Calibri" w:hAnsi="Calibri"/>
          <w:b/>
          <w:color w:val="525866"/>
          <w:sz w:val="22"/>
        </w:rPr>
        <w:t>Implication:</w:t>
      </w:r>
      <w:r>
        <w:rPr>
          <w:rFonts w:ascii="Calibri" w:hAnsi="Calibri"/>
          <w:color w:val="525866"/>
          <w:sz w:val="22"/>
        </w:rPr>
        <w:t xml:space="preserve"> Extends debt maturity profile; no net new leverage. Leverage covenant of 3.75x maintained.</w:t>
      </w:r>
    </w:p>
    <w:p>
      <w:pPr>
        <w:pStyle w:val="ListBullet"/>
        <w:ind w:left="360" w:hanging="360"/>
      </w:pPr>
      <w:r>
        <w:rPr>
          <w:rFonts w:ascii="Calibri" w:hAnsi="Calibri"/>
          <w:b/>
          <w:color w:val="525866"/>
          <w:sz w:val="22"/>
        </w:rPr>
        <w:t>June 18, 2026 — EUR 650 Million Senior Notes Offering Completed (8-K).</w:t>
      </w:r>
      <w:r>
        <w:rPr>
          <w:rFonts w:ascii="Calibri" w:hAnsi="Calibri"/>
          <w:color w:val="525866"/>
          <w:sz w:val="22"/>
        </w:rPr>
        <w:t xml:space="preserve"> Viatris issued €650M of 4.250% Senior Notes due 2033 to refinance $1.675B of 3.950% Senior Notes due 2026 (Utah Acquisition Sub). </w:t>
      </w:r>
      <w:r>
        <w:rPr>
          <w:rFonts w:ascii="Calibri" w:hAnsi="Calibri"/>
          <w:b/>
          <w:color w:val="525866"/>
          <w:sz w:val="22"/>
        </w:rPr>
        <w:t>Implication:</w:t>
      </w:r>
      <w:r>
        <w:rPr>
          <w:rFonts w:ascii="Calibri" w:hAnsi="Calibri"/>
          <w:color w:val="525866"/>
          <w:sz w:val="22"/>
        </w:rPr>
        <w:t xml:space="preserve"> Proactive liability management; extends maturity from 2026 to 2033. Slightly higher coupon but removes near-term refinancing risk. Shifts a portion of debt from USD to EUR.</w:t>
      </w:r>
    </w:p>
    <w:p>
      <w:pPr>
        <w:pStyle w:val="ListBullet"/>
        <w:ind w:left="360" w:hanging="360"/>
      </w:pPr>
      <w:r>
        <w:rPr>
          <w:rFonts w:ascii="Calibri" w:hAnsi="Calibri"/>
          <w:b/>
          <w:color w:val="525866"/>
          <w:sz w:val="22"/>
        </w:rPr>
        <w:t>May 15, 2026 — Annual Meeting: All Proposals Approved (8-K).</w:t>
      </w:r>
      <w:r>
        <w:rPr>
          <w:rFonts w:ascii="Calibri" w:hAnsi="Calibri"/>
          <w:color w:val="525866"/>
          <w:sz w:val="22"/>
        </w:rPr>
        <w:t xml:space="preserve"> Shareholders approved all proposals including director elections. No governance surprises; continuity confirmed.</w:t>
      </w:r>
    </w:p>
    <w:p>
      <w:pPr>
        <w:pStyle w:val="ListBullet"/>
        <w:ind w:left="360" w:hanging="360"/>
      </w:pPr>
      <w:r>
        <w:rPr>
          <w:rFonts w:ascii="Calibri" w:hAnsi="Calibri"/>
          <w:b/>
          <w:color w:val="525866"/>
          <w:sz w:val="22"/>
        </w:rPr>
        <w:t>May 12, 2026 — BofA Healthcare Conference: Management Reaffirms Confidence.</w:t>
      </w:r>
      <w:r>
        <w:rPr>
          <w:rFonts w:ascii="Calibri" w:hAnsi="Calibri"/>
          <w:color w:val="525866"/>
          <w:sz w:val="22"/>
        </w:rPr>
        <w:t xml:space="preserve"> CEO Scott Smith reiterated the 2%-plus operational growth trend, $120M net savings delivery, and described the business as in a "really good spot." Meloxicam peak sales potential of up to $500M reaffirmed; selatogrel enrollment at 1,300 patients/month on track for year-end full enrollment.</w:t>
      </w:r>
    </w:p>
    <w:p>
      <w:pPr>
        <w:pStyle w:val="ListBullet"/>
        <w:ind w:left="360" w:hanging="360"/>
      </w:pPr>
      <w:r>
        <w:rPr>
          <w:rFonts w:ascii="Calibri" w:hAnsi="Calibri"/>
          <w:b/>
          <w:color w:val="525866"/>
          <w:sz w:val="22"/>
        </w:rPr>
        <w:t>May 7, 2026 — CFO Transition: Paul Campbell Named Interim CFO.</w:t>
      </w:r>
      <w:r>
        <w:rPr>
          <w:rFonts w:ascii="Calibri" w:hAnsi="Calibri"/>
          <w:color w:val="525866"/>
          <w:sz w:val="22"/>
        </w:rPr>
        <w:t xml:space="preserve"> Doretta Mistras departed; Paul Campbell (Chief Accounting Officer, 20+ years at Viatris/Mylan) named interim CFO. Management explicitly stated no changes to capital allocation or financial policy. </w:t>
      </w:r>
      <w:r>
        <w:rPr>
          <w:rFonts w:ascii="Calibri" w:hAnsi="Calibri"/>
          <w:b/>
          <w:color w:val="525866"/>
          <w:sz w:val="22"/>
        </w:rPr>
        <w:t>Implication:</w:t>
      </w:r>
      <w:r>
        <w:rPr>
          <w:rFonts w:ascii="Calibri" w:hAnsi="Calibri"/>
          <w:color w:val="525866"/>
          <w:sz w:val="22"/>
        </w:rPr>
        <w:t xml:space="preserve"> Modest uncertainty around permanent CFO search; watch for any update on Q2 call.</w:t>
      </w:r>
    </w:p>
    <w:p>
      <w:pPr>
        <w:pStyle w:val="ListBullet"/>
        <w:ind w:left="360" w:hanging="360"/>
      </w:pPr>
      <w:r>
        <w:rPr>
          <w:rFonts w:ascii="Calibri" w:hAnsi="Calibri"/>
          <w:b/>
          <w:color w:val="525866"/>
          <w:sz w:val="22"/>
        </w:rPr>
        <w:t>May 7, 2026 — Fast-Acting Meloxicam NDA Accepted for FDA Review.</w:t>
      </w:r>
      <w:r>
        <w:rPr>
          <w:rFonts w:ascii="Calibri" w:hAnsi="Calibri"/>
          <w:color w:val="525866"/>
          <w:sz w:val="22"/>
        </w:rPr>
        <w:t xml:space="preserve"> FDA accepted the NDA; PDUFA date expected by year-end 2026. Opioid-sparing label language under discussion with FDA. Specialty salesforce of 150–200 reps planned for post-surgical/outpatient pain. </w:t>
      </w:r>
      <w:r>
        <w:rPr>
          <w:rFonts w:ascii="Calibri" w:hAnsi="Calibri"/>
          <w:b/>
          <w:color w:val="525866"/>
          <w:sz w:val="22"/>
        </w:rPr>
        <w:t>Implication:</w:t>
      </w:r>
      <w:r>
        <w:rPr>
          <w:rFonts w:ascii="Calibri" w:hAnsi="Calibri"/>
          <w:color w:val="525866"/>
          <w:sz w:val="22"/>
        </w:rPr>
        <w:t xml:space="preserve"> Meaningful revenue contribution expected in 2027; peak sales up to $500M.</w:t>
      </w:r>
    </w:p>
    <w:p>
      <w:pPr>
        <w:pStyle w:val="ListBullet"/>
        <w:ind w:left="360" w:hanging="360"/>
      </w:pPr>
      <w:r>
        <w:rPr>
          <w:rFonts w:ascii="Calibri" w:hAnsi="Calibri"/>
          <w:b/>
          <w:color w:val="525866"/>
          <w:sz w:val="22"/>
        </w:rPr>
        <w:t>Ongoing — Phentolamine Ophthalmic Solution PDUFA: October 17, 2026.</w:t>
      </w:r>
      <w:r>
        <w:rPr>
          <w:rFonts w:ascii="Calibri" w:hAnsi="Calibri"/>
          <w:color w:val="525866"/>
          <w:sz w:val="22"/>
        </w:rPr>
        <w:t xml:space="preserve"> sNDA for presbyopia treatment on track. Adds to H2 2026 regulatory catalyst pipeline.</w:t>
      </w:r>
    </w:p>
    <w:p>
      <w:pPr>
        <w:pStyle w:val="ListBullet"/>
        <w:ind w:left="360" w:hanging="360"/>
      </w:pPr>
      <w:r>
        <w:rPr>
          <w:rFonts w:ascii="Calibri" w:hAnsi="Calibri"/>
          <w:b/>
          <w:color w:val="525866"/>
          <w:sz w:val="22"/>
        </w:rPr>
        <w:t>Ongoing — Cenerimod Phase III Fully Enrolled; Selatogrel on Track.</w:t>
      </w:r>
      <w:r>
        <w:rPr>
          <w:rFonts w:ascii="Calibri" w:hAnsi="Calibri"/>
          <w:color w:val="525866"/>
          <w:sz w:val="22"/>
        </w:rPr>
        <w:t xml:space="preserve"> Cenerimod SLE OPUS-1 and OPUS-2 fully enrolled; results expected H1 2027. Selatogrel enrollment at ~1,200–1,300 patients/month; full enrollment expected by end of 2026, results H1 2027. These are the two largest pipeline value drivers.</w:t>
      </w:r>
    </w:p>
    <w:p>
      <w:pPr>
        <w:pStyle w:val="ListBullet"/>
        <w:ind w:left="360" w:hanging="360"/>
      </w:pPr>
      <w:r>
        <w:rPr>
          <w:rFonts w:ascii="Calibri" w:hAnsi="Calibri"/>
          <w:b/>
          <w:color w:val="525866"/>
          <w:sz w:val="22"/>
        </w:rPr>
        <w:t>Analyst Actions (Post-Q1): Barclays Maintains (May 19), JP Morgan Maintains (May 8), Truist Securities Maintains (May 8).</w:t>
      </w:r>
      <w:r>
        <w:rPr>
          <w:rFonts w:ascii="Calibri" w:hAnsi="Calibri"/>
          <w:color w:val="525866"/>
          <w:sz w:val="22"/>
        </w:rPr>
        <w:t xml:space="preserve"> No upgrades or downgrades since Q1 earnings; Street remains in wait-and-see mode on the growth inflection story.</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Only one insider transaction was filed in the post-Q1 window — a 10b5-1 planned sale by Interim CFO Paul Campbell of ~50,000 shares on June 25, 2026; this is a pre-scheduled plan sale and not a discretionary signal, but the timing shortly after his appointment as interim CFO is worth noting. No open-market buys were filed, which is a mild negative signal given the stock's underperformance.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Paul Campbell</w:t>
            </w:r>
          </w:p>
        </w:tc>
        <w:tc>
          <w:tcPr>
            <w:tcW w:type="dxa" w:w="1440"/>
          </w:tcPr>
          <w:p>
            <w:r>
              <w:rPr>
                <w:rFonts w:ascii="Calibri" w:hAnsi="Calibri"/>
                <w:sz w:val="22"/>
              </w:rPr>
              <w:t>Interim CFO / Chief Accounting Officer</w:t>
            </w:r>
          </w:p>
        </w:tc>
        <w:tc>
          <w:tcPr>
            <w:tcW w:type="dxa" w:w="1440"/>
          </w:tcPr>
          <w:p>
            <w:r>
              <w:rPr>
                <w:rFonts w:ascii="Calibri" w:hAnsi="Calibri"/>
                <w:sz w:val="22"/>
              </w:rPr>
              <w:t>10b5-1 Planned Sale</w:t>
            </w:r>
          </w:p>
        </w:tc>
        <w:tc>
          <w:tcPr>
            <w:tcW w:type="dxa" w:w="1440"/>
          </w:tcPr>
          <w:p>
            <w:r>
              <w:rPr>
                <w:rFonts w:ascii="Calibri" w:hAnsi="Calibri"/>
                <w:sz w:val="22"/>
              </w:rPr>
              <w:t>50,076 shares</w:t>
            </w:r>
          </w:p>
        </w:tc>
        <w:tc>
          <w:tcPr>
            <w:tcW w:type="dxa" w:w="1440"/>
          </w:tcPr>
          <w:p>
            <w:r>
              <w:rPr>
                <w:rFonts w:ascii="Calibri" w:hAnsi="Calibri"/>
                <w:sz w:val="22"/>
              </w:rPr>
              <w:t>June 25, 2026</w:t>
            </w:r>
          </w:p>
        </w:tc>
        <w:tc>
          <w:tcPr>
            <w:tcW w:type="dxa" w:w="1440"/>
          </w:tcPr>
          <w:p>
            <w:r>
              <w:rPr>
                <w:rFonts w:ascii="Calibri" w:hAnsi="Calibri"/>
                <w:sz w:val="22"/>
              </w:rPr>
              <w:t>Pre-scheduled 10b5-1 plan sale; not discretionary. Retained 316,212 shares post-transaction. Filed June 26, 2026.</w:t>
            </w:r>
          </w:p>
        </w:tc>
      </w:tr>
    </w:tbl>
    <w:p>
      <w:r>
        <w:rPr>
          <w:rFonts w:ascii="Calibri" w:hAnsi="Calibri"/>
          <w:i/>
          <w:color w:val="525866"/>
          <w:sz w:val="22"/>
        </w:rPr>
        <w:t>Source: SEC Form 4 filings database. Window: May 7, 2026 – August 5, 2026. Open-market buys (code P) and open-market sells (code S) plus 10b5-1 plan sales only.</w:t>
      </w:r>
    </w:p>
    <w:p>
      <w:r>
        <w:br w:type="page"/>
      </w:r>
    </w:p>
    <w:p>
      <w:pPr>
        <w:pStyle w:val="Heading2"/>
      </w:pPr>
      <w:r>
        <w:rPr>
          <w:rFonts w:ascii="Calibri" w:hAnsi="Calibri"/>
          <w:b/>
          <w:color w:val="3B4259"/>
          <w:sz w:val="28"/>
        </w:rPr>
        <w:t>8. Peer Commentaries — Q2 2026 Read-Through</w:t>
      </w:r>
    </w:p>
    <w:p>
      <w:r>
        <w:rPr>
          <w:rFonts w:ascii="Calibri" w:hAnsi="Calibri"/>
          <w:b/>
          <w:color w:val="525866"/>
          <w:sz w:val="22"/>
        </w:rPr>
        <w:t xml:space="preserve">Key Takeaway: </w:t>
      </w:r>
      <w:r>
        <w:rPr>
          <w:rFonts w:ascii="Calibri" w:hAnsi="Calibri"/>
          <w:color w:val="525866"/>
          <w:sz w:val="22"/>
        </w:rPr>
        <w:t>Peer commentary from Q2 2026 earnings calls and conferences (last 60 days) is broadly constructive for VTRS — Amneal's Q2 results confirm strong demand for transdermal patches (estrogen, lidocaine) and complex generics, directly benefiting VTRS's North America generics business; Teva's generics-to-growth narrative validates the sector's stabilization; Novartis and Sanofi flag China as a competitive but high-demand market for cardiovascular products, consistent with VTRS's upgraded China guide; PRGO's OTC softness is not directly relevant to VTRS's portfolio.</w:t>
      </w:r>
    </w:p>
    <w:p>
      <w:pPr>
        <w:pStyle w:val="Heading3"/>
      </w:pPr>
      <w:r>
        <w:rPr>
          <w:rFonts w:ascii="Calibri" w:hAnsi="Calibri"/>
          <w:b/>
          <w:color w:val="3B4259"/>
          <w:sz w:val="24"/>
        </w:rPr>
        <w:t>Amneal Pharmaceuticals (AMRX) — Q2 2026 Earnings Call (July 30, 2026)</w:t>
      </w:r>
    </w:p>
    <w:p>
      <w:r>
        <w:rPr>
          <w:rFonts w:ascii="Calibri" w:hAnsi="Calibri"/>
          <w:b/>
          <w:color w:val="525866"/>
          <w:sz w:val="22"/>
        </w:rPr>
        <w:t xml:space="preserve">Relevance to VTRS: </w:t>
      </w:r>
      <w:r>
        <w:rPr>
          <w:rFonts w:ascii="Calibri" w:hAnsi="Calibri"/>
          <w:color w:val="525866"/>
          <w:sz w:val="22"/>
        </w:rPr>
        <w:t>High — Amneal is a direct peer in US generics, complex generics, and transdermal patches. Q2 results and commentary are the most directly applicable read-through for VTRS's North America generics segment.</w:t>
      </w:r>
    </w:p>
    <w:p>
      <w:pPr>
        <w:pStyle w:val="ListBullet"/>
        <w:ind w:left="360" w:hanging="360"/>
      </w:pPr>
      <w:r>
        <w:rPr>
          <w:rFonts w:ascii="Calibri" w:hAnsi="Calibri"/>
          <w:b/>
          <w:color w:val="525866"/>
          <w:sz w:val="22"/>
        </w:rPr>
        <w:t>Transdermal patch demand is surging.</w:t>
      </w:r>
      <w:r>
        <w:rPr>
          <w:rFonts w:ascii="Calibri" w:hAnsi="Calibri"/>
          <w:color w:val="525866"/>
          <w:sz w:val="22"/>
        </w:rPr>
        <w:t xml:space="preserve"> Amneal reported "huge demand" for estrogen patches and is tripling capacity at its New Jersey facility. Lidocaine patches are also in shortage with rising demand. This directly supports VTRS's North America generics growth, which was driven in Q1 by "increased demand for estradiol" and complex generic launches. Expect similar tailwinds in Q2.</w:t>
      </w:r>
    </w:p>
    <w:p>
      <w:pPr>
        <w:pStyle w:val="ListBullet"/>
        <w:ind w:left="360" w:hanging="360"/>
      </w:pPr>
      <w:r>
        <w:rPr>
          <w:rFonts w:ascii="Calibri" w:hAnsi="Calibri"/>
          <w:b/>
          <w:color w:val="525866"/>
          <w:sz w:val="22"/>
        </w:rPr>
        <w:t>Complex generics momentum is strong.</w:t>
      </w:r>
      <w:r>
        <w:rPr>
          <w:rFonts w:ascii="Calibri" w:hAnsi="Calibri"/>
          <w:color w:val="525866"/>
          <w:sz w:val="22"/>
        </w:rPr>
        <w:t xml:space="preserve"> Amneal described itself as in a "transformative period" with its base business "strong, resilient and growing." The company raised FY 2026 revenue guidance by $50M to $3.1–$3.2B and EBITDA guidance by $10M, citing high single-digit growth in both specialty and affordable medicines. A rising tide in complex generics is a positive read-through for VTRS's generics platform.</w:t>
      </w:r>
    </w:p>
    <w:p>
      <w:pPr>
        <w:pStyle w:val="ListBullet"/>
        <w:ind w:left="360" w:hanging="360"/>
      </w:pPr>
      <w:r>
        <w:rPr>
          <w:rFonts w:ascii="Calibri" w:hAnsi="Calibri"/>
          <w:b/>
          <w:color w:val="525866"/>
          <w:sz w:val="22"/>
        </w:rPr>
        <w:t>US manufacturing and FDA PreCheck program.</w:t>
      </w:r>
      <w:r>
        <w:rPr>
          <w:rFonts w:ascii="Calibri" w:hAnsi="Calibri"/>
          <w:color w:val="525866"/>
          <w:sz w:val="22"/>
        </w:rPr>
        <w:t xml:space="preserve"> Amneal's Brookhaven, NY site was selected for the FDA's PreCheck pilot program alongside Eli Lilly and Regeneron — a signal that US-based complex generic manufacturers are gaining regulatory credibility. VTRS's own US manufacturing footprint benefits from the same dynamic.</w:t>
      </w:r>
    </w:p>
    <w:p>
      <w:pPr>
        <w:pStyle w:val="ListBullet"/>
        <w:ind w:left="360" w:hanging="360"/>
      </w:pPr>
      <w:r>
        <w:rPr>
          <w:rFonts w:ascii="Calibri" w:hAnsi="Calibri"/>
          <w:b/>
          <w:color w:val="525866"/>
          <w:sz w:val="22"/>
        </w:rPr>
        <w:t>Biosimilars entering a major growth cycle.</w:t>
      </w:r>
      <w:r>
        <w:rPr>
          <w:rFonts w:ascii="Calibri" w:hAnsi="Calibri"/>
          <w:color w:val="525866"/>
          <w:sz w:val="22"/>
        </w:rPr>
        <w:t xml:space="preserve"> Amneal described the US biosimilar market as entering a "major growth cycle" with 118 biologics losing exclusivity over the next decade. While VTRS is not a primary biosimilar player, this validates the broader complex generics/biosimilar opportunity that VTRS is selectively pursuing.</w:t>
      </w:r>
    </w:p>
    <w:p>
      <w:pPr>
        <w:pStyle w:val="ListBullet"/>
        <w:ind w:left="360" w:hanging="360"/>
      </w:pPr>
      <w:r>
        <w:rPr>
          <w:rFonts w:ascii="Calibri" w:hAnsi="Calibri"/>
          <w:b/>
          <w:color w:val="525866"/>
          <w:sz w:val="22"/>
        </w:rPr>
        <w:t>India facility flood impact: ~$20M negative.</w:t>
      </w:r>
      <w:r>
        <w:rPr>
          <w:rFonts w:ascii="Calibri" w:hAnsi="Calibri"/>
          <w:color w:val="525866"/>
          <w:sz w:val="22"/>
        </w:rPr>
        <w:t xml:space="preserve"> Amneal flagged a $20M revenue impact from flooding at its Gujarat, India facility. VTRS has its own India manufacturing exposure (Indore); while the Indore remediation is substantially complete, any supply chain disruptions in India are worth monitoring.</w:t>
      </w:r>
    </w:p>
    <w:p>
      <w:pPr>
        <w:pStyle w:val="Heading3"/>
      </w:pPr>
      <w:r>
        <w:rPr>
          <w:rFonts w:ascii="Calibri" w:hAnsi="Calibri"/>
          <w:b/>
          <w:color w:val="3B4259"/>
          <w:sz w:val="24"/>
        </w:rPr>
        <w:t>Amneal Pharmaceuticals (AMRX) — Goldman Sachs Global Healthcare Conference (June 9, 2026)</w:t>
      </w:r>
    </w:p>
    <w:p>
      <w:r>
        <w:rPr>
          <w:rFonts w:ascii="Calibri" w:hAnsi="Calibri"/>
          <w:b/>
          <w:color w:val="525866"/>
          <w:sz w:val="22"/>
        </w:rPr>
        <w:t xml:space="preserve">Relevance to VTRS: </w:t>
      </w:r>
      <w:r>
        <w:rPr>
          <w:rFonts w:ascii="Calibri" w:hAnsi="Calibri"/>
          <w:color w:val="525866"/>
          <w:sz w:val="22"/>
        </w:rPr>
        <w:t>Medium — Conference commentary on estrogen patch demand and biosimilar market dynamics provides forward-looking context for VTRS's Q2 North America performance.</w:t>
      </w:r>
    </w:p>
    <w:p>
      <w:pPr>
        <w:pStyle w:val="ListBullet"/>
        <w:ind w:left="360" w:hanging="360"/>
      </w:pPr>
      <w:r>
        <w:rPr>
          <w:rFonts w:ascii="Calibri" w:hAnsi="Calibri"/>
          <w:b/>
          <w:color w:val="525866"/>
          <w:sz w:val="22"/>
        </w:rPr>
        <w:t>Estrogen patch market expanding dramatically.</w:t>
      </w:r>
      <w:r>
        <w:rPr>
          <w:rFonts w:ascii="Calibri" w:hAnsi="Calibri"/>
          <w:color w:val="525866"/>
          <w:sz w:val="22"/>
        </w:rPr>
        <w:t xml:space="preserve"> Amneal projected the market for estrogen patches for women aged 45–65 to expand from ~5% weekly usage to 30–40%, and is tripling (potentially quadrupling) capacity with increased supply expected from August. This is a direct positive read-through for VTRS's estradiol patch business, which drove North America growth in Q1.</w:t>
      </w:r>
    </w:p>
    <w:p>
      <w:pPr>
        <w:pStyle w:val="ListBullet"/>
        <w:ind w:left="360" w:hanging="360"/>
      </w:pPr>
      <w:r>
        <w:rPr>
          <w:rFonts w:ascii="Calibri" w:hAnsi="Calibri"/>
          <w:b/>
          <w:color w:val="525866"/>
          <w:sz w:val="22"/>
        </w:rPr>
        <w:t>In-line products growing 10–15% vs. typical 4–5% decline.</w:t>
      </w:r>
      <w:r>
        <w:rPr>
          <w:rFonts w:ascii="Calibri" w:hAnsi="Calibri"/>
          <w:color w:val="525866"/>
          <w:sz w:val="22"/>
        </w:rPr>
        <w:t xml:space="preserve"> Amneal's base generics business is growing at a meaningfully faster rate than historical norms, driven by hormonal and pain patches. This validates VTRS's own narrative of generics stabilization and growth.</w:t>
      </w:r>
    </w:p>
    <w:p>
      <w:pPr>
        <w:pStyle w:val="ListBullet"/>
        <w:ind w:left="360" w:hanging="360"/>
      </w:pPr>
      <w:r>
        <w:rPr>
          <w:rFonts w:ascii="Calibri" w:hAnsi="Calibri"/>
          <w:b/>
          <w:color w:val="525866"/>
          <w:sz w:val="22"/>
        </w:rPr>
        <w:t>GLP-1 pricing pressure noted.</w:t>
      </w:r>
      <w:r>
        <w:rPr>
          <w:rFonts w:ascii="Calibri" w:hAnsi="Calibri"/>
          <w:color w:val="525866"/>
          <w:sz w:val="22"/>
        </w:rPr>
        <w:t xml:space="preserve"> Monthly GLP-1 prices in the US and Europe have declined from $800 to $400. While VTRS's GLP-1 strategy is a 2030+ opportunity, this confirms the competitive pricing environment that will shape the eventual generic GLP-1 market.</w:t>
      </w:r>
    </w:p>
    <w:p>
      <w:pPr>
        <w:pStyle w:val="Heading3"/>
      </w:pPr>
      <w:r>
        <w:rPr>
          <w:rFonts w:ascii="Calibri" w:hAnsi="Calibri"/>
          <w:b/>
          <w:color w:val="3B4259"/>
          <w:sz w:val="24"/>
        </w:rPr>
        <w:t>Sanofi (SAN FP) — Q2 2026 Earnings Call (July 30, 2026)</w:t>
      </w:r>
    </w:p>
    <w:p>
      <w:r>
        <w:rPr>
          <w:rFonts w:ascii="Calibri" w:hAnsi="Calibri"/>
          <w:b/>
          <w:color w:val="525866"/>
          <w:sz w:val="22"/>
        </w:rPr>
        <w:t xml:space="preserve">Relevance to VTRS: </w:t>
      </w:r>
      <w:r>
        <w:rPr>
          <w:rFonts w:ascii="Calibri" w:hAnsi="Calibri"/>
          <w:color w:val="525866"/>
          <w:sz w:val="22"/>
        </w:rPr>
        <w:t>Low-to-Medium — Sanofi's China commentary and established brands performance provide a broader pharma sector backdrop, though Sanofi's portfolio is more innovative/biologic-focused than VTRS.</w:t>
      </w:r>
    </w:p>
    <w:p>
      <w:pPr>
        <w:pStyle w:val="ListBullet"/>
        <w:ind w:left="360" w:hanging="360"/>
      </w:pPr>
      <w:r>
        <w:rPr>
          <w:rFonts w:ascii="Calibri" w:hAnsi="Calibri"/>
          <w:b/>
          <w:color w:val="525866"/>
          <w:sz w:val="22"/>
        </w:rPr>
        <w:t>China is an "extraordinary source of innovation" but a "very competitive" market.</w:t>
      </w:r>
      <w:r>
        <w:rPr>
          <w:rFonts w:ascii="Calibri" w:hAnsi="Calibri"/>
          <w:color w:val="525866"/>
          <w:sz w:val="22"/>
        </w:rPr>
        <w:t xml:space="preserve"> Sanofi described China as a "very interesting marketplace" and intends to "double down" on its China efforts. An analyst noted the China market is "a little bit soft these days." For VTRS, this confirms that while China demand for cardiovascular products is strong, the competitive environment is intensifying — consistent with management's caution about policy risk.</w:t>
      </w:r>
    </w:p>
    <w:p>
      <w:pPr>
        <w:pStyle w:val="ListBullet"/>
        <w:ind w:left="360" w:hanging="360"/>
      </w:pPr>
      <w:r>
        <w:rPr>
          <w:rFonts w:ascii="Calibri" w:hAnsi="Calibri"/>
          <w:b/>
          <w:color w:val="525866"/>
          <w:sz w:val="22"/>
        </w:rPr>
        <w:t>Dupixent growth is volume-led, not price-led.</w:t>
      </w:r>
      <w:r>
        <w:rPr>
          <w:rFonts w:ascii="Calibri" w:hAnsi="Calibri"/>
          <w:color w:val="525866"/>
          <w:sz w:val="22"/>
        </w:rPr>
        <w:t xml:space="preserve"> Sanofi's flagship product grew primarily on volume with "very vast majority of growth" from volume. This is a positive sector signal — volume-driven growth in specialty pharma validates the demand environment that VTRS's innovative pipeline (cenerimod, selatogrel, meloxicam) is targeting.</w:t>
      </w:r>
    </w:p>
    <w:p>
      <w:pPr>
        <w:pStyle w:val="ListBullet"/>
        <w:ind w:left="360" w:hanging="360"/>
      </w:pPr>
      <w:r>
        <w:rPr>
          <w:rFonts w:ascii="Calibri" w:hAnsi="Calibri"/>
          <w:b/>
          <w:color w:val="525866"/>
          <w:sz w:val="22"/>
        </w:rPr>
        <w:t>Vaccine business guidance cut due to US VCR weakness.</w:t>
      </w:r>
      <w:r>
        <w:rPr>
          <w:rFonts w:ascii="Calibri" w:hAnsi="Calibri"/>
          <w:color w:val="525866"/>
          <w:sz w:val="22"/>
        </w:rPr>
        <w:t xml:space="preserve"> Sanofi reduced its 2030 vaccine sales ambition by EUR 1B due to weaker US vaccination coverage rates under the new administration. Not directly relevant to VTRS, but signals that US healthcare policy uncertainty is a sector-wide risk.</w:t>
      </w:r>
    </w:p>
    <w:p>
      <w:pPr>
        <w:pStyle w:val="Heading3"/>
      </w:pPr>
      <w:r>
        <w:rPr>
          <w:rFonts w:ascii="Calibri" w:hAnsi="Calibri"/>
          <w:b/>
          <w:color w:val="3B4259"/>
          <w:sz w:val="24"/>
        </w:rPr>
        <w:t>Perrigo (PRGO) — Q2 2026 Earnings Call (August 5, 2026)</w:t>
      </w:r>
    </w:p>
    <w:p>
      <w:r>
        <w:rPr>
          <w:rFonts w:ascii="Calibri" w:hAnsi="Calibri"/>
          <w:b/>
          <w:color w:val="525866"/>
          <w:sz w:val="22"/>
        </w:rPr>
        <w:t xml:space="preserve">Relevance to VTRS: </w:t>
      </w:r>
      <w:r>
        <w:rPr>
          <w:rFonts w:ascii="Calibri" w:hAnsi="Calibri"/>
          <w:color w:val="525866"/>
          <w:sz w:val="22"/>
        </w:rPr>
        <w:t>Low — Perrigo's OTC store-brand business has limited overlap with VTRS's prescription generics and established brands portfolio. Commentary is included for completeness but is not a meaningful read-through.</w:t>
      </w:r>
    </w:p>
    <w:p>
      <w:pPr>
        <w:pStyle w:val="ListBullet"/>
        <w:ind w:left="360" w:hanging="360"/>
      </w:pPr>
      <w:r>
        <w:rPr>
          <w:rFonts w:ascii="Calibri" w:hAnsi="Calibri"/>
          <w:b/>
          <w:color w:val="525866"/>
          <w:sz w:val="22"/>
        </w:rPr>
        <w:t>US OTC volumes turned positive in late July.</w:t>
      </w:r>
      <w:r>
        <w:rPr>
          <w:rFonts w:ascii="Calibri" w:hAnsi="Calibri"/>
          <w:color w:val="525866"/>
          <w:sz w:val="22"/>
        </w:rPr>
        <w:t xml:space="preserve"> Perrigo noted that "US OTC volumes in the categories where we compete turned positive in the four weeks ended July 19th," after a period of softness in seasonal categories (cough, cold, pain, allergy). This is a mild positive for consumer healthcare demand broadly, but VTRS's portfolio is predominantly prescription-based.</w:t>
      </w:r>
    </w:p>
    <w:p>
      <w:pPr>
        <w:pStyle w:val="ListBullet"/>
        <w:ind w:left="360" w:hanging="360"/>
      </w:pPr>
      <w:r>
        <w:rPr>
          <w:rFonts w:ascii="Calibri" w:hAnsi="Calibri"/>
          <w:b/>
          <w:color w:val="525866"/>
          <w:sz w:val="22"/>
        </w:rPr>
        <w:t>Consumer focused on value — store brands gaining share.</w:t>
      </w:r>
      <w:r>
        <w:rPr>
          <w:rFonts w:ascii="Calibri" w:hAnsi="Calibri"/>
          <w:color w:val="525866"/>
          <w:sz w:val="22"/>
        </w:rPr>
        <w:t xml:space="preserve"> Perrigo grew store brand OTC volumes by 1.5% even as category volumes declined 1.1%, taking 50bps of market share. The value-seeking consumer trend is broadly supportive of generic/affordable medicine demand, which benefits VTRS's generics platform.</w:t>
      </w:r>
    </w:p>
    <w:p>
      <w:pPr>
        <w:pStyle w:val="ListBullet"/>
        <w:ind w:left="360" w:hanging="360"/>
      </w:pPr>
      <w:r>
        <w:rPr>
          <w:rFonts w:ascii="Calibri" w:hAnsi="Calibri"/>
          <w:b/>
          <w:color w:val="525866"/>
          <w:sz w:val="22"/>
        </w:rPr>
        <w:t>Europe softness from delayed allergy/sun seasons.</w:t>
      </w:r>
      <w:r>
        <w:rPr>
          <w:rFonts w:ascii="Calibri" w:hAnsi="Calibri"/>
          <w:color w:val="525866"/>
          <w:sz w:val="22"/>
        </w:rPr>
        <w:t xml:space="preserve"> Perrigo flagged softness in European OTC categories due to delayed seasonal demand and retailer inventory reductions (~1.8% sales impact). VTRS's European generics business (net sales -1% in Q1) faces some of the same seasonal dynamics, though the product mix is different.</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Event</w:t>
            </w:r>
          </w:p>
        </w:tc>
        <w:tc>
          <w:tcPr>
            <w:tcW w:type="dxa" w:w="1728"/>
            <w:shd w:val="clear" w:color="auto" w:fill="3B4259"/>
          </w:tcPr>
          <w:p>
            <w:r>
              <w:rPr>
                <w:rFonts w:ascii="Calibri" w:hAnsi="Calibri"/>
                <w:b/>
                <w:color w:val="FFFFFF"/>
                <w:sz w:val="22"/>
              </w:rPr>
              <w:t>Key Theme</w:t>
            </w:r>
          </w:p>
        </w:tc>
        <w:tc>
          <w:tcPr>
            <w:tcW w:type="dxa" w:w="1728"/>
            <w:shd w:val="clear" w:color="auto" w:fill="3B4259"/>
          </w:tcPr>
          <w:p>
            <w:r>
              <w:rPr>
                <w:rFonts w:ascii="Calibri" w:hAnsi="Calibri"/>
                <w:b/>
                <w:color w:val="FFFFFF"/>
                <w:sz w:val="22"/>
              </w:rPr>
              <w:t>VTRS Read-Through</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AMRX</w:t>
            </w:r>
          </w:p>
        </w:tc>
        <w:tc>
          <w:tcPr>
            <w:tcW w:type="dxa" w:w="1728"/>
          </w:tcPr>
          <w:p>
            <w:r>
              <w:rPr>
                <w:rFonts w:ascii="Calibri" w:hAnsi="Calibri"/>
                <w:sz w:val="22"/>
              </w:rPr>
              <w:t>Q2 2026 Earnings (Jul 30)</w:t>
            </w:r>
          </w:p>
        </w:tc>
        <w:tc>
          <w:tcPr>
            <w:tcW w:type="dxa" w:w="1728"/>
          </w:tcPr>
          <w:p>
            <w:r>
              <w:rPr>
                <w:rFonts w:ascii="Calibri" w:hAnsi="Calibri"/>
                <w:sz w:val="22"/>
              </w:rPr>
              <w:t>Estrogen/lidocaine patch demand surging; complex generics strong; raised guidance</w:t>
            </w:r>
          </w:p>
        </w:tc>
        <w:tc>
          <w:tcPr>
            <w:tcW w:type="dxa" w:w="1728"/>
          </w:tcPr>
          <w:p>
            <w:r>
              <w:rPr>
                <w:rFonts w:ascii="Calibri" w:hAnsi="Calibri"/>
                <w:sz w:val="22"/>
              </w:rPr>
              <w:t>Positive for VTRS North America generics (estradiol, complex launches)</w:t>
            </w:r>
          </w:p>
        </w:tc>
        <w:tc>
          <w:tcPr>
            <w:tcW w:type="dxa" w:w="1728"/>
          </w:tcPr>
          <w:p>
            <w:r>
              <w:rPr>
                <w:rFonts w:ascii="Calibri" w:hAnsi="Calibri"/>
                <w:b/>
                <w:color w:val="30A46C"/>
                <w:sz w:val="22"/>
              </w:rPr>
              <w:t>Positive</w:t>
            </w:r>
          </w:p>
        </w:tc>
      </w:tr>
      <w:tr>
        <w:tc>
          <w:tcPr>
            <w:tcW w:type="dxa" w:w="1728"/>
          </w:tcPr>
          <w:p>
            <w:r>
              <w:rPr>
                <w:rFonts w:ascii="Calibri" w:hAnsi="Calibri"/>
                <w:sz w:val="22"/>
              </w:rPr>
              <w:t>AMRX</w:t>
            </w:r>
          </w:p>
        </w:tc>
        <w:tc>
          <w:tcPr>
            <w:tcW w:type="dxa" w:w="1728"/>
          </w:tcPr>
          <w:p>
            <w:r>
              <w:rPr>
                <w:rFonts w:ascii="Calibri" w:hAnsi="Calibri"/>
                <w:sz w:val="22"/>
              </w:rPr>
              <w:t>Goldman Sachs Conf (Jun 9)</w:t>
            </w:r>
          </w:p>
        </w:tc>
        <w:tc>
          <w:tcPr>
            <w:tcW w:type="dxa" w:w="1728"/>
          </w:tcPr>
          <w:p>
            <w:r>
              <w:rPr>
                <w:rFonts w:ascii="Calibri" w:hAnsi="Calibri"/>
                <w:sz w:val="22"/>
              </w:rPr>
              <w:t>Estrogen patch market expanding to 30–40% penetration; in-line products +10–15%</w:t>
            </w:r>
          </w:p>
        </w:tc>
        <w:tc>
          <w:tcPr>
            <w:tcW w:type="dxa" w:w="1728"/>
          </w:tcPr>
          <w:p>
            <w:r>
              <w:rPr>
                <w:rFonts w:ascii="Calibri" w:hAnsi="Calibri"/>
                <w:sz w:val="22"/>
              </w:rPr>
              <w:t>Positive for VTRS estradiol patch demand in Q2 and beyond</w:t>
            </w:r>
          </w:p>
        </w:tc>
        <w:tc>
          <w:tcPr>
            <w:tcW w:type="dxa" w:w="1728"/>
          </w:tcPr>
          <w:p>
            <w:r>
              <w:rPr>
                <w:rFonts w:ascii="Calibri" w:hAnsi="Calibri"/>
                <w:b/>
                <w:color w:val="30A46C"/>
                <w:sz w:val="22"/>
              </w:rPr>
              <w:t>Positive</w:t>
            </w:r>
          </w:p>
        </w:tc>
      </w:tr>
      <w:tr>
        <w:tc>
          <w:tcPr>
            <w:tcW w:type="dxa" w:w="1728"/>
          </w:tcPr>
          <w:p>
            <w:r>
              <w:rPr>
                <w:rFonts w:ascii="Calibri" w:hAnsi="Calibri"/>
                <w:sz w:val="22"/>
              </w:rPr>
              <w:t>TEVA</w:t>
            </w:r>
          </w:p>
        </w:tc>
        <w:tc>
          <w:tcPr>
            <w:tcW w:type="dxa" w:w="1728"/>
          </w:tcPr>
          <w:p>
            <w:r>
              <w:rPr>
                <w:rFonts w:ascii="Calibri" w:hAnsi="Calibri"/>
                <w:sz w:val="22"/>
              </w:rPr>
              <w:t>Goldman Sachs Conf (Jun 8)</w:t>
            </w:r>
          </w:p>
        </w:tc>
        <w:tc>
          <w:tcPr>
            <w:tcW w:type="dxa" w:w="1728"/>
          </w:tcPr>
          <w:p>
            <w:r>
              <w:rPr>
                <w:rFonts w:ascii="Calibri" w:hAnsi="Calibri"/>
                <w:sz w:val="22"/>
              </w:rPr>
              <w:t>Generics turned from declining to growing; biosimilars underestimated as value creator</w:t>
            </w:r>
          </w:p>
        </w:tc>
        <w:tc>
          <w:tcPr>
            <w:tcW w:type="dxa" w:w="1728"/>
          </w:tcPr>
          <w:p>
            <w:r>
              <w:rPr>
                <w:rFonts w:ascii="Calibri" w:hAnsi="Calibri"/>
                <w:sz w:val="22"/>
              </w:rPr>
              <w:t>Validates VTRS generics stabilization/growth narrative; sector-level positive</w:t>
            </w:r>
          </w:p>
        </w:tc>
        <w:tc>
          <w:tcPr>
            <w:tcW w:type="dxa" w:w="1728"/>
          </w:tcPr>
          <w:p>
            <w:r>
              <w:rPr>
                <w:rFonts w:ascii="Calibri" w:hAnsi="Calibri"/>
                <w:b/>
                <w:color w:val="30A46C"/>
                <w:sz w:val="22"/>
              </w:rPr>
              <w:t>Positive</w:t>
            </w:r>
          </w:p>
        </w:tc>
      </w:tr>
      <w:tr>
        <w:tc>
          <w:tcPr>
            <w:tcW w:type="dxa" w:w="1728"/>
          </w:tcPr>
          <w:p>
            <w:r>
              <w:rPr>
                <w:rFonts w:ascii="Calibri" w:hAnsi="Calibri"/>
                <w:sz w:val="22"/>
              </w:rPr>
              <w:t>NVS</w:t>
            </w:r>
          </w:p>
        </w:tc>
        <w:tc>
          <w:tcPr>
            <w:tcW w:type="dxa" w:w="1728"/>
          </w:tcPr>
          <w:p>
            <w:r>
              <w:rPr>
                <w:rFonts w:ascii="Calibri" w:hAnsi="Calibri"/>
                <w:sz w:val="22"/>
              </w:rPr>
              <w:t>Q2 2026 Earnings (Jul 21)</w:t>
            </w:r>
          </w:p>
        </w:tc>
        <w:tc>
          <w:tcPr>
            <w:tcW w:type="dxa" w:w="1728"/>
          </w:tcPr>
          <w:p>
            <w:r>
              <w:rPr>
                <w:rFonts w:ascii="Calibri" w:hAnsi="Calibri"/>
                <w:sz w:val="22"/>
              </w:rPr>
              <w:t>China cardiovascular demand strong; NRDL inclusion driving volume; market competitive</w:t>
            </w:r>
          </w:p>
        </w:tc>
        <w:tc>
          <w:tcPr>
            <w:tcW w:type="dxa" w:w="1728"/>
          </w:tcPr>
          <w:p>
            <w:r>
              <w:rPr>
                <w:rFonts w:ascii="Calibri" w:hAnsi="Calibri"/>
                <w:sz w:val="22"/>
              </w:rPr>
              <w:t>Positive for VTRS China cardiovascular portfolio (Lipitor, Norvasc); validates Q1 acceleration</w:t>
            </w:r>
          </w:p>
        </w:tc>
        <w:tc>
          <w:tcPr>
            <w:tcW w:type="dxa" w:w="1728"/>
          </w:tcPr>
          <w:p>
            <w:r>
              <w:rPr>
                <w:rFonts w:ascii="Calibri" w:hAnsi="Calibri"/>
                <w:b/>
                <w:color w:val="30A46C"/>
                <w:sz w:val="22"/>
              </w:rPr>
              <w:t>Positive</w:t>
            </w:r>
          </w:p>
        </w:tc>
      </w:tr>
      <w:tr>
        <w:tc>
          <w:tcPr>
            <w:tcW w:type="dxa" w:w="1728"/>
          </w:tcPr>
          <w:p>
            <w:r>
              <w:rPr>
                <w:rFonts w:ascii="Calibri" w:hAnsi="Calibri"/>
                <w:sz w:val="22"/>
              </w:rPr>
              <w:t>SAN FP</w:t>
            </w:r>
          </w:p>
        </w:tc>
        <w:tc>
          <w:tcPr>
            <w:tcW w:type="dxa" w:w="1728"/>
          </w:tcPr>
          <w:p>
            <w:r>
              <w:rPr>
                <w:rFonts w:ascii="Calibri" w:hAnsi="Calibri"/>
                <w:sz w:val="22"/>
              </w:rPr>
              <w:t>Q2 2026 Earnings (Jul 30)</w:t>
            </w:r>
          </w:p>
        </w:tc>
        <w:tc>
          <w:tcPr>
            <w:tcW w:type="dxa" w:w="1728"/>
          </w:tcPr>
          <w:p>
            <w:r>
              <w:rPr>
                <w:rFonts w:ascii="Calibri" w:hAnsi="Calibri"/>
                <w:sz w:val="22"/>
              </w:rPr>
              <w:t>China "a little soft" but high-demand; volume-led pharma growth; US vaccine policy risk</w:t>
            </w:r>
          </w:p>
        </w:tc>
        <w:tc>
          <w:tcPr>
            <w:tcW w:type="dxa" w:w="1728"/>
          </w:tcPr>
          <w:p>
            <w:r>
              <w:rPr>
                <w:rFonts w:ascii="Calibri" w:hAnsi="Calibri"/>
                <w:sz w:val="22"/>
              </w:rPr>
              <w:t>Mixed — China softness is a watch item; volume-led growth validates demand environment</w:t>
            </w:r>
          </w:p>
        </w:tc>
        <w:tc>
          <w:tcPr>
            <w:tcW w:type="dxa" w:w="1728"/>
          </w:tcPr>
          <w:p>
            <w:r>
              <w:rPr>
                <w:rFonts w:ascii="Calibri" w:hAnsi="Calibri"/>
                <w:b/>
                <w:sz w:val="22"/>
              </w:rPr>
              <w:t>Mixed</w:t>
            </w:r>
          </w:p>
        </w:tc>
      </w:tr>
      <w:tr>
        <w:tc>
          <w:tcPr>
            <w:tcW w:type="dxa" w:w="1728"/>
          </w:tcPr>
          <w:p>
            <w:r>
              <w:rPr>
                <w:rFonts w:ascii="Calibri" w:hAnsi="Calibri"/>
                <w:sz w:val="22"/>
              </w:rPr>
              <w:t>PRGO</w:t>
            </w:r>
          </w:p>
        </w:tc>
        <w:tc>
          <w:tcPr>
            <w:tcW w:type="dxa" w:w="1728"/>
          </w:tcPr>
          <w:p>
            <w:r>
              <w:rPr>
                <w:rFonts w:ascii="Calibri" w:hAnsi="Calibri"/>
                <w:sz w:val="22"/>
              </w:rPr>
              <w:t>Q2 2026 Earnings (Aug 5)</w:t>
            </w:r>
          </w:p>
        </w:tc>
        <w:tc>
          <w:tcPr>
            <w:tcW w:type="dxa" w:w="1728"/>
          </w:tcPr>
          <w:p>
            <w:r>
              <w:rPr>
                <w:rFonts w:ascii="Calibri" w:hAnsi="Calibri"/>
                <w:sz w:val="22"/>
              </w:rPr>
              <w:t>OTC volumes turned positive late July; Europe softness from seasonal delays</w:t>
            </w:r>
          </w:p>
        </w:tc>
        <w:tc>
          <w:tcPr>
            <w:tcW w:type="dxa" w:w="1728"/>
          </w:tcPr>
          <w:p>
            <w:r>
              <w:rPr>
                <w:rFonts w:ascii="Calibri" w:hAnsi="Calibri"/>
                <w:sz w:val="22"/>
              </w:rPr>
              <w:t>Limited read-through — VTRS is predominantly Rx; Europe seasonal softness a minor watch</w:t>
            </w:r>
          </w:p>
        </w:tc>
        <w:tc>
          <w:tcPr>
            <w:tcW w:type="dxa" w:w="1728"/>
          </w:tcPr>
          <w:p>
            <w:r>
              <w:rPr>
                <w:rFonts w:ascii="Calibri" w:hAnsi="Calibri"/>
                <w:b/>
                <w:sz w:val="22"/>
              </w:rPr>
              <w:t>Neutral</w:t>
            </w:r>
          </w:p>
        </w:tc>
      </w:tr>
    </w:tbl>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