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Viatris Inc. (VTRS)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Viatris Inc.</w:t>
            </w:r>
          </w:p>
        </w:tc>
        <w:tc>
          <w:tcPr>
            <w:tcW w:type="dxa" w:w="2160"/>
          </w:tcPr>
          <w:p>
            <w:r>
              <w:rPr>
                <w:rFonts w:ascii="Calibri" w:hAnsi="Calibri"/>
                <w:b/>
                <w:sz w:val="22"/>
              </w:rPr>
              <w:t>Earnings Date</w:t>
            </w:r>
          </w:p>
        </w:tc>
        <w:tc>
          <w:tcPr>
            <w:tcW w:type="dxa" w:w="2160"/>
          </w:tcPr>
          <w:p>
            <w:r>
              <w:rPr>
                <w:rFonts w:ascii="Calibri" w:hAnsi="Calibri"/>
                <w:sz w:val="22"/>
              </w:rPr>
              <w:t>August 6, 2026 (8:30 AM ET)</w:t>
            </w:r>
          </w:p>
        </w:tc>
      </w:tr>
      <w:tr>
        <w:tc>
          <w:tcPr>
            <w:tcW w:type="dxa" w:w="2160"/>
          </w:tcPr>
          <w:p>
            <w:r>
              <w:rPr>
                <w:rFonts w:ascii="Calibri" w:hAnsi="Calibri"/>
                <w:b/>
                <w:sz w:val="22"/>
              </w:rPr>
              <w:t>Ticker</w:t>
            </w:r>
          </w:p>
        </w:tc>
        <w:tc>
          <w:tcPr>
            <w:tcW w:type="dxa" w:w="2160"/>
          </w:tcPr>
          <w:p>
            <w:r>
              <w:rPr>
                <w:rFonts w:ascii="Calibri" w:hAnsi="Calibri"/>
                <w:sz w:val="22"/>
              </w:rPr>
              <w:t>VTRS (NASDAQ)</w:t>
            </w:r>
          </w:p>
        </w:tc>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r>
      <w:tr>
        <w:tc>
          <w:tcPr>
            <w:tcW w:type="dxa" w:w="2160"/>
          </w:tcPr>
          <w:p>
            <w:r>
              <w:rPr>
                <w:rFonts w:ascii="Calibri" w:hAnsi="Calibri"/>
                <w:b/>
                <w:sz w:val="22"/>
              </w:rPr>
              <w:t>Prepared</w:t>
            </w:r>
          </w:p>
        </w:tc>
        <w:tc>
          <w:tcPr>
            <w:tcW w:type="dxa" w:w="2160"/>
          </w:tcPr>
          <w:p>
            <w:r>
              <w:rPr>
                <w:rFonts w:ascii="Calibri" w:hAnsi="Calibri"/>
                <w:sz w:val="22"/>
              </w:rPr>
              <w:t>August 5, 2026</w:t>
            </w:r>
          </w:p>
        </w:tc>
        <w:tc>
          <w:tcPr>
            <w:tcW w:type="dxa" w:w="2160"/>
          </w:tcPr>
          <w:p>
            <w:r>
              <w:rPr>
                <w:rFonts w:ascii="Calibri" w:hAnsi="Calibri"/>
                <w:b/>
                <w:sz w:val="22"/>
              </w:rPr>
              <w:t>Last Earnings</w:t>
            </w:r>
          </w:p>
        </w:tc>
        <w:tc>
          <w:tcPr>
            <w:tcW w:type="dxa" w:w="2160"/>
          </w:tcPr>
          <w:p>
            <w:r>
              <w:rPr>
                <w:rFonts w:ascii="Calibri" w:hAnsi="Calibri"/>
                <w:sz w:val="22"/>
              </w:rPr>
              <w:t>May 7,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is constructive but not stretched — consensus sits modestly below management’s reaffirmed full-year guidance trajectory, and the biggest swing factor is whether </w:t>
      </w:r>
      <w:r>
        <w:rPr>
          <w:rFonts w:ascii="Calibri" w:hAnsi="Calibri"/>
          <w:b/>
          <w:color w:val="525866"/>
          <w:sz w:val="22"/>
        </w:rPr>
        <w:t>Greater China momentum</w:t>
      </w:r>
      <w:r>
        <w:rPr>
          <w:rFonts w:ascii="Calibri" w:hAnsi="Calibri"/>
          <w:color w:val="525866"/>
          <w:sz w:val="22"/>
        </w:rPr>
        <w:t xml:space="preserve"> can sustain the 18% Q1 surge or mean-reverts toward the upgraded mid-to-high single-digit full-year guide.</w:t>
      </w:r>
    </w:p>
    <w:p>
      <w:r>
        <w:rPr>
          <w:rFonts w:ascii="Calibri" w:hAnsi="Calibri"/>
          <w:color w:val="525866"/>
          <w:sz w:val="22"/>
        </w:rPr>
        <w:t xml:space="preserve">Heading into Q2 2026, Viatris presents a moderately constructive setup: consensus revenue of ~$3.68B and adjusted EPS of ~$0.61 imply a step-up from Q1’s $3.52B / $0.59, consistent with management’s stated ~52% second-half weighting for the full year. The bar is not demanding — estimates have drifted only marginally since the Q1 print, and the company reaffirmed full-year guidance ($14.45–14.95B revenue; $4.15–4.45B adj. EBITDA; $2.33–2.47 adj. EPS) with an upgraded China growth outlook (low-single-digits → mid-to-high single digits). Management tone at the May 12 BofA Healthcare Conference was explicitly positive, describing the business as “in a really good spot” with “continued strong trends” in North America generics and a $120M net savings target on track for 2026. The stock has given back roughly 10% from its Q1 earnings-day high of ~$17.39 before recovering to ~$17.65 as of August 5, suggesting the market is neither pricing in a beat nor a miss. The key wildcard is the </w:t>
      </w:r>
      <w:r>
        <w:rPr>
          <w:rFonts w:ascii="Calibri" w:hAnsi="Calibri"/>
          <w:b/>
          <w:color w:val="525866"/>
          <w:sz w:val="22"/>
        </w:rPr>
        <w:t>XULANE LO PDUFA (July 30, 2026)</w:t>
      </w:r>
      <w:r>
        <w:rPr>
          <w:rFonts w:ascii="Calibri" w:hAnsi="Calibri"/>
          <w:color w:val="525866"/>
          <w:sz w:val="22"/>
        </w:rPr>
        <w:t xml:space="preserve"> — any FDA action letter or approval commentary on the call could move the stock independently of the core financial print, as could any update on the fast-acting meloxicam PDUFA date and the interim CFO’s first full-quarter stewardship.</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low-to-moderate bar</w:t>
      </w:r>
      <w:r>
        <w:rPr>
          <w:rFonts w:ascii="Calibri" w:hAnsi="Calibri"/>
          <w:color w:val="525866"/>
          <w:sz w:val="22"/>
        </w:rPr>
        <w:t xml:space="preserve"> — estimates sit slightly below the implied Q2 run-rate embedded in full-year guidance, and </w:t>
      </w:r>
      <w:r>
        <w:rPr>
          <w:rFonts w:ascii="Calibri" w:hAnsi="Calibri"/>
          <w:b/>
          <w:color w:val="525866"/>
          <w:sz w:val="22"/>
        </w:rPr>
        <w:t>adjusted EBITDA margin</w:t>
      </w:r>
      <w:r>
        <w:rPr>
          <w:rFonts w:ascii="Calibri" w:hAnsi="Calibri"/>
          <w:color w:val="525866"/>
          <w:sz w:val="22"/>
        </w:rPr>
        <w:t xml:space="preserve"> is the bigger swing factor given Q1’s 10% operational EBITDA growth outpaced revenue growth by 7 points.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$3.517B</w:t>
            </w:r>
          </w:p>
        </w:tc>
        <w:tc>
          <w:tcPr>
            <w:tcW w:type="dxa" w:w="1234"/>
          </w:tcPr>
          <w:p>
            <w:r>
              <w:rPr>
                <w:rFonts w:ascii="Calibri" w:hAnsi="Calibri"/>
                <w:sz w:val="22"/>
              </w:rPr>
              <w:t>$3.582B</w:t>
            </w:r>
          </w:p>
        </w:tc>
        <w:tc>
          <w:tcPr>
            <w:tcW w:type="dxa" w:w="1234"/>
          </w:tcPr>
          <w:p>
            <w:r>
              <w:rPr>
                <w:rFonts w:ascii="Calibri" w:hAnsi="Calibri"/>
                <w:sz w:val="22"/>
              </w:rPr>
              <w:t>$3.677B</w:t>
            </w:r>
          </w:p>
        </w:tc>
        <w:tc>
          <w:tcPr>
            <w:tcW w:type="dxa" w:w="1234"/>
          </w:tcPr>
          <w:p>
            <w:r>
              <w:rPr>
                <w:rFonts w:ascii="Calibri" w:hAnsi="Calibri"/>
                <w:sz w:val="22"/>
              </w:rPr>
              <w:t>+2.6% YoY</w:t>
            </w:r>
          </w:p>
        </w:tc>
        <w:tc>
          <w:tcPr>
            <w:tcW w:type="dxa" w:w="1234"/>
          </w:tcPr>
          <w:p>
            <w:r>
              <w:rPr>
                <w:rFonts w:ascii="Calibri" w:hAnsi="Calibri"/>
                <w:sz w:val="22"/>
              </w:rPr>
              <w:t>$14.700B (FY)</w:t>
            </w:r>
          </w:p>
        </w:tc>
        <w:tc>
          <w:tcPr>
            <w:tcW w:type="dxa" w:w="1234"/>
          </w:tcPr>
          <w:p>
            <w:r>
              <w:rPr>
                <w:rFonts w:ascii="Calibri" w:hAnsi="Calibri"/>
                <w:sz w:val="22"/>
              </w:rPr>
              <w:t>Consensus implies ~99.7% of FY midpoint pace</w:t>
            </w:r>
          </w:p>
        </w:tc>
      </w:tr>
      <w:tr>
        <w:tc>
          <w:tcPr>
            <w:tcW w:type="dxa" w:w="1234"/>
          </w:tcPr>
          <w:p>
            <w:r>
              <w:rPr>
                <w:rFonts w:ascii="Calibri" w:hAnsi="Calibri"/>
                <w:sz w:val="22"/>
              </w:rPr>
              <w:t>Adj. EBITDA ($B)</w:t>
            </w:r>
          </w:p>
        </w:tc>
        <w:tc>
          <w:tcPr>
            <w:tcW w:type="dxa" w:w="1234"/>
          </w:tcPr>
          <w:p>
            <w:r>
              <w:rPr>
                <w:rFonts w:ascii="Calibri" w:hAnsi="Calibri"/>
                <w:sz w:val="22"/>
              </w:rPr>
              <w:t>~$1.0B (reported; GAAP EBITDA $549M)</w:t>
            </w:r>
          </w:p>
        </w:tc>
        <w:tc>
          <w:tcPr>
            <w:tcW w:type="dxa" w:w="1234"/>
          </w:tcPr>
          <w:p>
            <w:r>
              <w:rPr>
                <w:rFonts w:ascii="Calibri" w:hAnsi="Calibri"/>
                <w:sz w:val="22"/>
              </w:rPr>
              <w:t>$578M (GAAP EBITDA)</w:t>
            </w:r>
          </w:p>
        </w:tc>
        <w:tc>
          <w:tcPr>
            <w:tcW w:type="dxa" w:w="1234"/>
          </w:tcPr>
          <w:p>
            <w:r>
              <w:rPr>
                <w:rFonts w:ascii="Calibri" w:hAnsi="Calibri"/>
                <w:sz w:val="22"/>
              </w:rPr>
              <w:t>$575M (GAAP EBITDA consensus)</w:t>
            </w:r>
          </w:p>
        </w:tc>
        <w:tc>
          <w:tcPr>
            <w:tcW w:type="dxa" w:w="1234"/>
          </w:tcPr>
          <w:p>
            <w:r>
              <w:rPr>
                <w:rFonts w:ascii="Calibri" w:hAnsi="Calibri"/>
                <w:sz w:val="22"/>
              </w:rPr>
              <w:t>-0.5% YoY (GAAP)</w:t>
            </w:r>
          </w:p>
        </w:tc>
        <w:tc>
          <w:tcPr>
            <w:tcW w:type="dxa" w:w="1234"/>
          </w:tcPr>
          <w:p>
            <w:r>
              <w:rPr>
                <w:rFonts w:ascii="Calibri" w:hAnsi="Calibri"/>
                <w:sz w:val="22"/>
              </w:rPr>
              <w:t>$4.300B adj. EBITDA (FY midpoint)</w:t>
            </w:r>
          </w:p>
        </w:tc>
        <w:tc>
          <w:tcPr>
            <w:tcW w:type="dxa" w:w="1234"/>
          </w:tcPr>
          <w:p>
            <w:r>
              <w:rPr>
                <w:rFonts w:ascii="Calibri" w:hAnsi="Calibri"/>
                <w:sz w:val="22"/>
              </w:rPr>
              <w:t>Consensus below FY pace; H2 weighting expected</w:t>
            </w:r>
          </w:p>
        </w:tc>
      </w:tr>
      <w:tr>
        <w:tc>
          <w:tcPr>
            <w:tcW w:type="dxa" w:w="1234"/>
          </w:tcPr>
          <w:p>
            <w:r>
              <w:rPr>
                <w:rFonts w:ascii="Calibri" w:hAnsi="Calibri"/>
                <w:sz w:val="22"/>
              </w:rPr>
              <w:t>Adj. EPS — Diluted (Operating)</w:t>
            </w:r>
          </w:p>
        </w:tc>
        <w:tc>
          <w:tcPr>
            <w:tcW w:type="dxa" w:w="1234"/>
          </w:tcPr>
          <w:p>
            <w:r>
              <w:rPr>
                <w:rFonts w:ascii="Calibri" w:hAnsi="Calibri"/>
                <w:sz w:val="22"/>
              </w:rPr>
              <w:t>$0.591</w:t>
            </w:r>
          </w:p>
        </w:tc>
        <w:tc>
          <w:tcPr>
            <w:tcW w:type="dxa" w:w="1234"/>
          </w:tcPr>
          <w:p>
            <w:r>
              <w:rPr>
                <w:rFonts w:ascii="Calibri" w:hAnsi="Calibri"/>
                <w:sz w:val="22"/>
              </w:rPr>
              <w:t>$0.619</w:t>
            </w:r>
          </w:p>
        </w:tc>
        <w:tc>
          <w:tcPr>
            <w:tcW w:type="dxa" w:w="1234"/>
          </w:tcPr>
          <w:p>
            <w:r>
              <w:rPr>
                <w:rFonts w:ascii="Calibri" w:hAnsi="Calibri"/>
                <w:sz w:val="22"/>
              </w:rPr>
              <w:t>$0.606</w:t>
            </w:r>
          </w:p>
        </w:tc>
        <w:tc>
          <w:tcPr>
            <w:tcW w:type="dxa" w:w="1234"/>
          </w:tcPr>
          <w:p>
            <w:r>
              <w:rPr>
                <w:rFonts w:ascii="Calibri" w:hAnsi="Calibri"/>
                <w:sz w:val="22"/>
              </w:rPr>
              <w:t>-2.1% YoY</w:t>
            </w:r>
          </w:p>
        </w:tc>
        <w:tc>
          <w:tcPr>
            <w:tcW w:type="dxa" w:w="1234"/>
          </w:tcPr>
          <w:p>
            <w:r>
              <w:rPr>
                <w:rFonts w:ascii="Calibri" w:hAnsi="Calibri"/>
                <w:sz w:val="22"/>
              </w:rPr>
              <w:t>$2.40 (FY midpoint)</w:t>
            </w:r>
          </w:p>
        </w:tc>
        <w:tc>
          <w:tcPr>
            <w:tcW w:type="dxa" w:w="1234"/>
          </w:tcPr>
          <w:p>
            <w:r>
              <w:rPr>
                <w:rFonts w:ascii="Calibri" w:hAnsi="Calibri"/>
                <w:sz w:val="22"/>
              </w:rPr>
              <w:t>Q2 consensus ~25.3% of FY midpoint; on track</w:t>
            </w:r>
          </w:p>
        </w:tc>
      </w:tr>
      <w:tr>
        <w:tc>
          <w:tcPr>
            <w:tcW w:type="dxa" w:w="1234"/>
          </w:tcPr>
          <w:p>
            <w:r>
              <w:rPr>
                <w:rFonts w:ascii="Calibri" w:hAnsi="Calibri"/>
                <w:sz w:val="22"/>
              </w:rPr>
              <w:t>Free Cash Flow ($B)</w:t>
            </w:r>
          </w:p>
        </w:tc>
        <w:tc>
          <w:tcPr>
            <w:tcW w:type="dxa" w:w="1234"/>
          </w:tcPr>
          <w:p>
            <w:r>
              <w:rPr>
                <w:rFonts w:ascii="Calibri" w:hAnsi="Calibri"/>
                <w:sz w:val="22"/>
              </w:rPr>
              <w:t>$348M ($459M excl. restructuring)</w:t>
            </w:r>
          </w:p>
        </w:tc>
        <w:tc>
          <w:tcPr>
            <w:tcW w:type="dxa" w:w="1234"/>
          </w:tcPr>
          <w:p>
            <w:r>
              <w:rPr>
                <w:rFonts w:ascii="Calibri" w:hAnsi="Calibri"/>
                <w:sz w:val="22"/>
              </w:rPr>
              <w:t>$167M</w:t>
            </w:r>
          </w:p>
        </w:tc>
        <w:tc>
          <w:tcPr>
            <w:tcW w:type="dxa" w:w="1234"/>
          </w:tcPr>
          <w:p>
            <w:r>
              <w:rPr>
                <w:rFonts w:ascii="Calibri" w:hAnsi="Calibri"/>
                <w:sz w:val="22"/>
              </w:rPr>
              <w:t>$400M</w:t>
            </w:r>
          </w:p>
        </w:tc>
        <w:tc>
          <w:tcPr>
            <w:tcW w:type="dxa" w:w="1234"/>
          </w:tcPr>
          <w:p>
            <w:r>
              <w:rPr>
                <w:rFonts w:ascii="Calibri" w:hAnsi="Calibri"/>
                <w:sz w:val="22"/>
              </w:rPr>
              <w:t>+139% YoY</w:t>
            </w:r>
          </w:p>
        </w:tc>
        <w:tc>
          <w:tcPr>
            <w:tcW w:type="dxa" w:w="1234"/>
          </w:tcPr>
          <w:p>
            <w:r>
              <w:rPr>
                <w:rFonts w:ascii="Calibri" w:hAnsi="Calibri"/>
                <w:sz w:val="22"/>
              </w:rPr>
              <w:t>$2.150B (FY midpoint)</w:t>
            </w:r>
          </w:p>
        </w:tc>
        <w:tc>
          <w:tcPr>
            <w:tcW w:type="dxa" w:w="1234"/>
          </w:tcPr>
          <w:p>
            <w:r>
              <w:rPr>
                <w:rFonts w:ascii="Calibri" w:hAnsi="Calibri"/>
                <w:sz w:val="22"/>
              </w:rPr>
              <w:t>Consensus implies strong H2 FCF ramp</w:t>
            </w:r>
          </w:p>
        </w:tc>
      </w:tr>
    </w:tbl>
    <w:p>
      <w:r>
        <w:rPr>
          <w:rFonts w:ascii="Calibri" w:hAnsi="Calibri"/>
          <w:i/>
          <w:color w:val="525866"/>
          <w:sz w:val="22"/>
        </w:rPr>
        <w:t>Source: Visible Alpha Consensus and Actuals Data. Q2 2026 consensus as of August 5, 2026. FY 2026 guidance as reaffirmed on May 7, 2026 Q1 earnings call. GAAP EBITDA actuals from Visible Alpha; Adjusted EBITDA (operating) for Q1 2026 reported as ~$1.0B per earnings release.</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$3.797B</w:t>
            </w:r>
          </w:p>
        </w:tc>
        <w:tc>
          <w:tcPr>
            <w:tcW w:type="dxa" w:w="1728"/>
          </w:tcPr>
          <w:p>
            <w:r>
              <w:rPr>
                <w:rFonts w:ascii="Calibri" w:hAnsi="Calibri"/>
                <w:sz w:val="22"/>
              </w:rPr>
              <w:t>$3.780B</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$3.751B</w:t>
            </w:r>
          </w:p>
        </w:tc>
        <w:tc>
          <w:tcPr>
            <w:tcW w:type="dxa" w:w="1728"/>
          </w:tcPr>
          <w:p>
            <w:r>
              <w:rPr>
                <w:rFonts w:ascii="Calibri" w:hAnsi="Calibri"/>
                <w:sz w:val="22"/>
              </w:rPr>
              <w:t>$3.713B</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$3.528B</w:t>
            </w:r>
          </w:p>
        </w:tc>
        <w:tc>
          <w:tcPr>
            <w:tcW w:type="dxa" w:w="1728"/>
          </w:tcPr>
          <w:p>
            <w:r>
              <w:rPr>
                <w:rFonts w:ascii="Calibri" w:hAnsi="Calibri"/>
                <w:sz w:val="22"/>
              </w:rPr>
              <w:t>$3.592B</w:t>
            </w:r>
          </w:p>
        </w:tc>
        <w:tc>
          <w:tcPr>
            <w:tcW w:type="dxa" w:w="1728"/>
          </w:tcPr>
          <w:p>
            <w:r>
              <w:rPr>
                <w:rFonts w:ascii="Calibri" w:hAnsi="Calibri"/>
                <w:sz w:val="22"/>
              </w:rPr>
              <w:t>-1.8%</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$3.254B</w:t>
            </w:r>
          </w:p>
        </w:tc>
        <w:tc>
          <w:tcPr>
            <w:tcW w:type="dxa" w:w="1728"/>
          </w:tcPr>
          <w:p>
            <w:r>
              <w:rPr>
                <w:rFonts w:ascii="Calibri" w:hAnsi="Calibri"/>
                <w:sz w:val="22"/>
              </w:rPr>
              <w:t>$3.277B</w:t>
            </w:r>
          </w:p>
        </w:tc>
        <w:tc>
          <w:tcPr>
            <w:tcW w:type="dxa" w:w="1728"/>
          </w:tcPr>
          <w:p>
            <w:r>
              <w:rPr>
                <w:rFonts w:ascii="Calibri" w:hAnsi="Calibri"/>
                <w:sz w:val="22"/>
              </w:rPr>
              <w:t>-0.7%</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$3.582B</w:t>
            </w:r>
          </w:p>
        </w:tc>
        <w:tc>
          <w:tcPr>
            <w:tcW w:type="dxa" w:w="1728"/>
          </w:tcPr>
          <w:p>
            <w:r>
              <w:rPr>
                <w:rFonts w:ascii="Calibri" w:hAnsi="Calibri"/>
                <w:sz w:val="22"/>
              </w:rPr>
              <w:t>$3.436B</w:t>
            </w:r>
          </w:p>
        </w:tc>
        <w:tc>
          <w:tcPr>
            <w:tcW w:type="dxa" w:w="1728"/>
          </w:tcPr>
          <w:p>
            <w:r>
              <w:rPr>
                <w:rFonts w:ascii="Calibri" w:hAnsi="Calibri"/>
                <w:sz w:val="22"/>
              </w:rPr>
              <w:t>+4.2%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$3.760B</w:t>
            </w:r>
          </w:p>
        </w:tc>
        <w:tc>
          <w:tcPr>
            <w:tcW w:type="dxa" w:w="1728"/>
          </w:tcPr>
          <w:p>
            <w:r>
              <w:rPr>
                <w:rFonts w:ascii="Calibri" w:hAnsi="Calibri"/>
                <w:sz w:val="22"/>
              </w:rPr>
              <w:t>$3.606B</w:t>
            </w:r>
          </w:p>
        </w:tc>
        <w:tc>
          <w:tcPr>
            <w:tcW w:type="dxa" w:w="1728"/>
          </w:tcPr>
          <w:p>
            <w:r>
              <w:rPr>
                <w:rFonts w:ascii="Calibri" w:hAnsi="Calibri"/>
                <w:sz w:val="22"/>
              </w:rPr>
              <w:t>+4.3%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$3.704B</w:t>
            </w:r>
          </w:p>
        </w:tc>
        <w:tc>
          <w:tcPr>
            <w:tcW w:type="dxa" w:w="1728"/>
          </w:tcPr>
          <w:p>
            <w:r>
              <w:rPr>
                <w:rFonts w:ascii="Calibri" w:hAnsi="Calibri"/>
                <w:sz w:val="22"/>
              </w:rPr>
              <w:t>$3.545B</w:t>
            </w:r>
          </w:p>
        </w:tc>
        <w:tc>
          <w:tcPr>
            <w:tcW w:type="dxa" w:w="1728"/>
          </w:tcPr>
          <w:p>
            <w:r>
              <w:rPr>
                <w:rFonts w:ascii="Calibri" w:hAnsi="Calibri"/>
                <w:sz w:val="22"/>
              </w:rPr>
              <w:t>+4.5%</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$3.517B</w:t>
            </w:r>
          </w:p>
        </w:tc>
        <w:tc>
          <w:tcPr>
            <w:tcW w:type="dxa" w:w="1728"/>
          </w:tcPr>
          <w:p>
            <w:r>
              <w:rPr>
                <w:rFonts w:ascii="Calibri" w:hAnsi="Calibri"/>
                <w:sz w:val="22"/>
              </w:rPr>
              <w:t>$3.342B</w:t>
            </w:r>
          </w:p>
        </w:tc>
        <w:tc>
          <w:tcPr>
            <w:tcW w:type="dxa" w:w="1728"/>
          </w:tcPr>
          <w:p>
            <w:r>
              <w:rPr>
                <w:rFonts w:ascii="Calibri" w:hAnsi="Calibri"/>
                <w:sz w:val="22"/>
              </w:rPr>
              <w:t>+5.2%</w:t>
            </w:r>
          </w:p>
        </w:tc>
        <w:tc>
          <w:tcPr>
            <w:tcW w:type="dxa" w:w="1728"/>
          </w:tcPr>
          <w:p>
            <w:r>
              <w:rPr>
                <w:rFonts w:ascii="Calibri" w:hAnsi="Calibri"/>
                <w:b/>
                <w:color w:val="30A46C"/>
                <w:sz w:val="22"/>
              </w:rPr>
              <w:t>Beat</w:t>
            </w:r>
          </w:p>
        </w:tc>
      </w:tr>
    </w:tbl>
    <w:p>
      <w:pPr>
        <w:pStyle w:val="Heading4"/>
      </w:pPr>
      <w:r>
        <w:rPr>
          <w:rFonts w:ascii="Calibri" w:hAnsi="Calibri"/>
          <w:b/>
          <w:color w:val="3B4259"/>
          <w:sz w:val="22"/>
        </w:rPr>
        <w:t>KPI 2: Adjusted 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$0.694</w:t>
            </w:r>
          </w:p>
        </w:tc>
        <w:tc>
          <w:tcPr>
            <w:tcW w:type="dxa" w:w="1728"/>
          </w:tcPr>
          <w:p>
            <w:r>
              <w:rPr>
                <w:rFonts w:ascii="Calibri" w:hAnsi="Calibri"/>
                <w:sz w:val="22"/>
              </w:rPr>
              <w:t>$0.685</w:t>
            </w:r>
          </w:p>
        </w:tc>
        <w:tc>
          <w:tcPr>
            <w:tcW w:type="dxa" w:w="1728"/>
          </w:tcPr>
          <w:p>
            <w:r>
              <w:rPr>
                <w:rFonts w:ascii="Calibri" w:hAnsi="Calibri"/>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$0.750</w:t>
            </w:r>
          </w:p>
        </w:tc>
        <w:tc>
          <w:tcPr>
            <w:tcW w:type="dxa" w:w="1728"/>
          </w:tcPr>
          <w:p>
            <w:r>
              <w:rPr>
                <w:rFonts w:ascii="Calibri" w:hAnsi="Calibri"/>
                <w:sz w:val="22"/>
              </w:rPr>
              <w:t>$0.675</w:t>
            </w:r>
          </w:p>
        </w:tc>
        <w:tc>
          <w:tcPr>
            <w:tcW w:type="dxa" w:w="1728"/>
          </w:tcPr>
          <w:p>
            <w:r>
              <w:rPr>
                <w:rFonts w:ascii="Calibri" w:hAnsi="Calibri"/>
                <w:sz w:val="22"/>
              </w:rPr>
              <w:t>+11.1%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$0.549</w:t>
            </w:r>
          </w:p>
        </w:tc>
        <w:tc>
          <w:tcPr>
            <w:tcW w:type="dxa" w:w="1728"/>
          </w:tcPr>
          <w:p>
            <w:r>
              <w:rPr>
                <w:rFonts w:ascii="Calibri" w:hAnsi="Calibri"/>
                <w:sz w:val="22"/>
              </w:rPr>
              <w:t>$0.559</w:t>
            </w:r>
          </w:p>
        </w:tc>
        <w:tc>
          <w:tcPr>
            <w:tcW w:type="dxa" w:w="1728"/>
          </w:tcPr>
          <w:p>
            <w:r>
              <w:rPr>
                <w:rFonts w:ascii="Calibri" w:hAnsi="Calibri"/>
                <w:sz w:val="22"/>
              </w:rPr>
              <w:t>-1.8%</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$0.503</w:t>
            </w:r>
          </w:p>
        </w:tc>
        <w:tc>
          <w:tcPr>
            <w:tcW w:type="dxa" w:w="1728"/>
          </w:tcPr>
          <w:p>
            <w:r>
              <w:rPr>
                <w:rFonts w:ascii="Calibri" w:hAnsi="Calibri"/>
                <w:sz w:val="22"/>
              </w:rPr>
              <w:t>$0.531</w:t>
            </w:r>
          </w:p>
        </w:tc>
        <w:tc>
          <w:tcPr>
            <w:tcW w:type="dxa" w:w="1728"/>
          </w:tcPr>
          <w:p>
            <w:r>
              <w:rPr>
                <w:rFonts w:ascii="Calibri" w:hAnsi="Calibri"/>
                <w:sz w:val="22"/>
              </w:rPr>
              <w:t>-5.3%</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$0.619</w:t>
            </w:r>
          </w:p>
        </w:tc>
        <w:tc>
          <w:tcPr>
            <w:tcW w:type="dxa" w:w="1728"/>
          </w:tcPr>
          <w:p>
            <w:r>
              <w:rPr>
                <w:rFonts w:ascii="Calibri" w:hAnsi="Calibri"/>
                <w:sz w:val="22"/>
              </w:rPr>
              <w:t>$0.552</w:t>
            </w:r>
          </w:p>
        </w:tc>
        <w:tc>
          <w:tcPr>
            <w:tcW w:type="dxa" w:w="1728"/>
          </w:tcPr>
          <w:p>
            <w:r>
              <w:rPr>
                <w:rFonts w:ascii="Calibri" w:hAnsi="Calibri"/>
                <w:sz w:val="22"/>
              </w:rPr>
              <w:t>+12.1%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$0.673</w:t>
            </w:r>
          </w:p>
        </w:tc>
        <w:tc>
          <w:tcPr>
            <w:tcW w:type="dxa" w:w="1728"/>
          </w:tcPr>
          <w:p>
            <w:r>
              <w:rPr>
                <w:rFonts w:ascii="Calibri" w:hAnsi="Calibri"/>
                <w:sz w:val="22"/>
              </w:rPr>
              <w:t>$0.630</w:t>
            </w:r>
          </w:p>
        </w:tc>
        <w:tc>
          <w:tcPr>
            <w:tcW w:type="dxa" w:w="1728"/>
          </w:tcPr>
          <w:p>
            <w:r>
              <w:rPr>
                <w:rFonts w:ascii="Calibri" w:hAnsi="Calibri"/>
                <w:sz w:val="22"/>
              </w:rPr>
              <w:t>+6.8%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$0.571</w:t>
            </w:r>
          </w:p>
        </w:tc>
        <w:tc>
          <w:tcPr>
            <w:tcW w:type="dxa" w:w="1728"/>
          </w:tcPr>
          <w:p>
            <w:r>
              <w:rPr>
                <w:rFonts w:ascii="Calibri" w:hAnsi="Calibri"/>
                <w:sz w:val="22"/>
              </w:rPr>
              <w:t>$0.536</w:t>
            </w:r>
          </w:p>
        </w:tc>
        <w:tc>
          <w:tcPr>
            <w:tcW w:type="dxa" w:w="1728"/>
          </w:tcPr>
          <w:p>
            <w:r>
              <w:rPr>
                <w:rFonts w:ascii="Calibri" w:hAnsi="Calibri"/>
                <w:sz w:val="22"/>
              </w:rPr>
              <w:t>+6.5%</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$0.591</w:t>
            </w:r>
          </w:p>
        </w:tc>
        <w:tc>
          <w:tcPr>
            <w:tcW w:type="dxa" w:w="1728"/>
          </w:tcPr>
          <w:p>
            <w:r>
              <w:rPr>
                <w:rFonts w:ascii="Calibri" w:hAnsi="Calibri"/>
                <w:sz w:val="22"/>
              </w:rPr>
              <w:t>$0.504</w:t>
            </w:r>
          </w:p>
        </w:tc>
        <w:tc>
          <w:tcPr>
            <w:tcW w:type="dxa" w:w="1728"/>
          </w:tcPr>
          <w:p>
            <w:r>
              <w:rPr>
                <w:rFonts w:ascii="Calibri" w:hAnsi="Calibri"/>
                <w:sz w:val="22"/>
              </w:rPr>
              <w:t>+17.3%</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VTRS has beaten revenue consensus in 6 of the last 8 quarters and adj. EPS in 6 of 8, with the two misses concentrated in Q4 2024 / Q1 2025 (Indore facility headwind period). The last five consecutive quarters have all been revenue beats, with the magnitude of EPS beats accelerating sharply — Q1 2026’s +17.3% EPS surprise was the largest in the trailing eight quarters.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unchanged since the Q1 print, but management upgraded the </w:t>
      </w:r>
      <w:r>
        <w:rPr>
          <w:rFonts w:ascii="Calibri" w:hAnsi="Calibri"/>
          <w:b/>
          <w:color w:val="525866"/>
          <w:sz w:val="22"/>
        </w:rPr>
        <w:t>China growth outlook</w:t>
      </w:r>
      <w:r>
        <w:rPr>
          <w:rFonts w:ascii="Calibri" w:hAnsi="Calibri"/>
          <w:color w:val="525866"/>
          <w:sz w:val="22"/>
        </w:rPr>
        <w:t xml:space="preserve"> from low-single-digits to mid-to-high single digits and signaled potential upside to the full-year range; tone at the May 12 BofA conference was explicitly constructive.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 (FY 2026)</w:t>
            </w:r>
          </w:p>
        </w:tc>
        <w:tc>
          <w:tcPr>
            <w:tcW w:type="dxa" w:w="1728"/>
          </w:tcPr>
          <w:p>
            <w:r>
              <w:rPr>
                <w:rFonts w:ascii="Calibri" w:hAnsi="Calibri"/>
                <w:sz w:val="22"/>
              </w:rPr>
              <w:t>$14.45B – $14.95B (midpoint $14.70B)</w:t>
            </w:r>
          </w:p>
        </w:tc>
        <w:tc>
          <w:tcPr>
            <w:tcW w:type="dxa" w:w="1728"/>
          </w:tcPr>
          <w:p>
            <w:r>
              <w:rPr>
                <w:rFonts w:ascii="Calibri" w:hAnsi="Calibri"/>
                <w:sz w:val="22"/>
              </w:rPr>
              <w:t>—</w:t>
            </w:r>
          </w:p>
        </w:tc>
        <w:tc>
          <w:tcPr>
            <w:tcW w:type="dxa" w:w="1728"/>
          </w:tcPr>
          <w:p>
            <w:r>
              <w:rPr>
                <w:rFonts w:ascii="Calibri" w:hAnsi="Calibri"/>
                <w:sz w:val="22"/>
              </w:rPr>
              <w:t>$14.80B</w:t>
            </w:r>
          </w:p>
        </w:tc>
        <w:tc>
          <w:tcPr>
            <w:tcW w:type="dxa" w:w="1728"/>
          </w:tcPr>
          <w:p>
            <w:r>
              <w:rPr>
                <w:rFonts w:ascii="Calibri" w:hAnsi="Calibri"/>
                <w:sz w:val="22"/>
              </w:rPr>
              <w:t>Reaffirmed May 7; China growth upgraded to mid-to-high single digits from low-single digits; FX tailwind of ~1% flagged if rates hold</w:t>
            </w:r>
          </w:p>
        </w:tc>
      </w:tr>
      <w:tr>
        <w:tc>
          <w:tcPr>
            <w:tcW w:type="dxa" w:w="1728"/>
          </w:tcPr>
          <w:p>
            <w:r>
              <w:rPr>
                <w:rFonts w:ascii="Calibri" w:hAnsi="Calibri"/>
                <w:sz w:val="22"/>
              </w:rPr>
              <w:t>Adj. EBITDA (FY 2026)</w:t>
            </w:r>
          </w:p>
        </w:tc>
        <w:tc>
          <w:tcPr>
            <w:tcW w:type="dxa" w:w="1728"/>
          </w:tcPr>
          <w:p>
            <w:r>
              <w:rPr>
                <w:rFonts w:ascii="Calibri" w:hAnsi="Calibri"/>
                <w:sz w:val="22"/>
              </w:rPr>
              <w:t>$4.15B – $4.45B (midpoint $4.30B)</w:t>
            </w:r>
          </w:p>
        </w:tc>
        <w:tc>
          <w:tcPr>
            <w:tcW w:type="dxa" w:w="1728"/>
          </w:tcPr>
          <w:p>
            <w:r>
              <w:rPr>
                <w:rFonts w:ascii="Calibri" w:hAnsi="Calibri"/>
                <w:sz w:val="22"/>
              </w:rPr>
              <w:t>—</w:t>
            </w:r>
          </w:p>
        </w:tc>
        <w:tc>
          <w:tcPr>
            <w:tcW w:type="dxa" w:w="1728"/>
          </w:tcPr>
          <w:p>
            <w:r>
              <w:rPr>
                <w:rFonts w:ascii="Calibri" w:hAnsi="Calibri"/>
                <w:sz w:val="22"/>
              </w:rPr>
              <w:t>$3.48B (GAAP EBITDA consensus)</w:t>
            </w:r>
          </w:p>
        </w:tc>
        <w:tc>
          <w:tcPr>
            <w:tcW w:type="dxa" w:w="1728"/>
          </w:tcPr>
          <w:p>
            <w:r>
              <w:rPr>
                <w:rFonts w:ascii="Calibri" w:hAnsi="Calibri"/>
                <w:sz w:val="22"/>
              </w:rPr>
              <w:t>Reaffirmed May 7; Q1 adj. EBITDA grew 10% operationally vs. 3% revenue — operating leverage ahead of expectations; $120M net savings on track</w:t>
            </w:r>
          </w:p>
        </w:tc>
      </w:tr>
      <w:tr>
        <w:tc>
          <w:tcPr>
            <w:tcW w:type="dxa" w:w="1728"/>
          </w:tcPr>
          <w:p>
            <w:r>
              <w:rPr>
                <w:rFonts w:ascii="Calibri" w:hAnsi="Calibri"/>
                <w:sz w:val="22"/>
              </w:rPr>
              <w:t>Adj. EPS (FY 2026)</w:t>
            </w:r>
          </w:p>
        </w:tc>
        <w:tc>
          <w:tcPr>
            <w:tcW w:type="dxa" w:w="1728"/>
          </w:tcPr>
          <w:p>
            <w:r>
              <w:rPr>
                <w:rFonts w:ascii="Calibri" w:hAnsi="Calibri"/>
                <w:sz w:val="22"/>
              </w:rPr>
              <w:t>$2.33 – $2.47 (midpoint $2.40)</w:t>
            </w:r>
          </w:p>
        </w:tc>
        <w:tc>
          <w:tcPr>
            <w:tcW w:type="dxa" w:w="1728"/>
          </w:tcPr>
          <w:p>
            <w:r>
              <w:rPr>
                <w:rFonts w:ascii="Calibri" w:hAnsi="Calibri"/>
                <w:sz w:val="22"/>
              </w:rPr>
              <w:t>—</w:t>
            </w:r>
          </w:p>
        </w:tc>
        <w:tc>
          <w:tcPr>
            <w:tcW w:type="dxa" w:w="1728"/>
          </w:tcPr>
          <w:p>
            <w:r>
              <w:rPr>
                <w:rFonts w:ascii="Calibri" w:hAnsi="Calibri"/>
                <w:sz w:val="22"/>
              </w:rPr>
              <w:t>$2.45</w:t>
            </w:r>
          </w:p>
        </w:tc>
        <w:tc>
          <w:tcPr>
            <w:tcW w:type="dxa" w:w="1728"/>
          </w:tcPr>
          <w:p>
            <w:r>
              <w:rPr>
                <w:rFonts w:ascii="Calibri" w:hAnsi="Calibri"/>
                <w:sz w:val="22"/>
              </w:rPr>
              <w:t>Consensus near top of range; reflects strong Q1 beat carry-through; management noted potential to “meet or potentially exceed” expectations</w:t>
            </w:r>
          </w:p>
        </w:tc>
      </w:tr>
      <w:tr>
        <w:tc>
          <w:tcPr>
            <w:tcW w:type="dxa" w:w="1728"/>
          </w:tcPr>
          <w:p>
            <w:r>
              <w:rPr>
                <w:rFonts w:ascii="Calibri" w:hAnsi="Calibri"/>
                <w:sz w:val="22"/>
              </w:rPr>
              <w:t>Free Cash Flow (FY 2026)</w:t>
            </w:r>
          </w:p>
        </w:tc>
        <w:tc>
          <w:tcPr>
            <w:tcW w:type="dxa" w:w="1728"/>
          </w:tcPr>
          <w:p>
            <w:r>
              <w:rPr>
                <w:rFonts w:ascii="Calibri" w:hAnsi="Calibri"/>
                <w:sz w:val="22"/>
              </w:rPr>
              <w:t>$1.95B – $2.35B (midpoint $2.15B)</w:t>
            </w:r>
          </w:p>
        </w:tc>
        <w:tc>
          <w:tcPr>
            <w:tcW w:type="dxa" w:w="1728"/>
          </w:tcPr>
          <w:p>
            <w:r>
              <w:rPr>
                <w:rFonts w:ascii="Calibri" w:hAnsi="Calibri"/>
                <w:sz w:val="22"/>
              </w:rPr>
              <w:t>—</w:t>
            </w:r>
          </w:p>
        </w:tc>
        <w:tc>
          <w:tcPr>
            <w:tcW w:type="dxa" w:w="1728"/>
          </w:tcPr>
          <w:p>
            <w:r>
              <w:rPr>
                <w:rFonts w:ascii="Calibri" w:hAnsi="Calibri"/>
                <w:sz w:val="22"/>
              </w:rPr>
              <w:t>$2.15B</w:t>
            </w:r>
          </w:p>
        </w:tc>
        <w:tc>
          <w:tcPr>
            <w:tcW w:type="dxa" w:w="1728"/>
          </w:tcPr>
          <w:p>
            <w:r>
              <w:rPr>
                <w:rFonts w:ascii="Calibri" w:hAnsi="Calibri"/>
                <w:sz w:val="22"/>
              </w:rPr>
              <w:t>Reaffirmed; FCF expected higher in H2 due to working capital timing and step-down in one-time cash costs</w:t>
            </w:r>
          </w:p>
        </w:tc>
      </w:tr>
      <w:tr>
        <w:tc>
          <w:tcPr>
            <w:tcW w:type="dxa" w:w="1728"/>
          </w:tcPr>
          <w:p>
            <w:r>
              <w:rPr>
                <w:rFonts w:ascii="Calibri" w:hAnsi="Calibri"/>
                <w:sz w:val="22"/>
              </w:rPr>
              <w:t>New Product Revenue (FY 2026)</w:t>
            </w:r>
          </w:p>
        </w:tc>
        <w:tc>
          <w:tcPr>
            <w:tcW w:type="dxa" w:w="1728"/>
          </w:tcPr>
          <w:p>
            <w:r>
              <w:rPr>
                <w:rFonts w:ascii="Calibri" w:hAnsi="Calibri"/>
                <w:sz w:val="22"/>
              </w:rPr>
              <w:t>$450M – $550M (midpoint $500M)</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Q1 contributed $71M; heavily H2-weighted; includes meloxicam (approval expected late 2026), XULANE LO (PDUFA July 30), Abilify Maintena generic</w:t>
            </w:r>
          </w:p>
        </w:tc>
      </w:tr>
      <w:tr>
        <w:tc>
          <w:tcPr>
            <w:tcW w:type="dxa" w:w="1728"/>
          </w:tcPr>
          <w:p>
            <w:r>
              <w:rPr>
                <w:rFonts w:ascii="Calibri" w:hAnsi="Calibri"/>
                <w:sz w:val="22"/>
              </w:rPr>
              <w:t>H1/H2 Revenue Split</w:t>
            </w:r>
          </w:p>
        </w:tc>
        <w:tc>
          <w:tcPr>
            <w:tcW w:type="dxa" w:w="1728"/>
          </w:tcPr>
          <w:p>
            <w:r>
              <w:rPr>
                <w:rFonts w:ascii="Calibri" w:hAnsi="Calibri"/>
                <w:sz w:val="22"/>
              </w:rPr>
              <w:t>~48% H1 / ~52% H2</w:t>
            </w:r>
          </w:p>
        </w:tc>
        <w:tc>
          <w:tcPr>
            <w:tcW w:type="dxa" w:w="1728"/>
          </w:tcPr>
          <w:p>
            <w:r>
              <w:rPr>
                <w:rFonts w:ascii="Calibri" w:hAnsi="Calibri"/>
                <w:sz w:val="22"/>
              </w:rPr>
              <w:t>—</w:t>
            </w:r>
          </w:p>
        </w:tc>
        <w:tc>
          <w:tcPr>
            <w:tcW w:type="dxa" w:w="1728"/>
          </w:tcPr>
          <w:p>
            <w:r>
              <w:rPr>
                <w:rFonts w:ascii="Calibri" w:hAnsi="Calibri"/>
                <w:sz w:val="22"/>
              </w:rPr>
              <w:t>Consistent with guidance</w:t>
            </w:r>
          </w:p>
        </w:tc>
        <w:tc>
          <w:tcPr>
            <w:tcW w:type="dxa" w:w="1728"/>
          </w:tcPr>
          <w:p>
            <w:r>
              <w:rPr>
                <w:rFonts w:ascii="Calibri" w:hAnsi="Calibri"/>
                <w:sz w:val="22"/>
              </w:rPr>
              <w:t>Normal seasonality + new product launch timing; operating expense ramp also H2-weighted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have been </w:t>
      </w:r>
      <w:r>
        <w:rPr>
          <w:rFonts w:ascii="Calibri" w:hAnsi="Calibri"/>
          <w:b/>
          <w:color w:val="525866"/>
          <w:sz w:val="22"/>
        </w:rPr>
        <w:t>essentially flat since the Q1 print</w:t>
      </w:r>
      <w:r>
        <w:rPr>
          <w:rFonts w:ascii="Calibri" w:hAnsi="Calibri"/>
          <w:color w:val="525866"/>
          <w:sz w:val="22"/>
        </w:rPr>
        <w:t xml:space="preserve"> (+1.3% for revenue, +1.3% for adj. EPS), suggesting the street is not chasing the Q1 beat higher — a setup that leaves room for another positive surprise if China and North America generics hold. Full-year estimates are tracking near the top of guidance, consistent with management’s “meet or potentially exceed” language.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(c. May 14,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7, 2026)</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$3.647B</w:t>
            </w:r>
          </w:p>
        </w:tc>
        <w:tc>
          <w:tcPr>
            <w:tcW w:type="dxa" w:w="1080"/>
          </w:tcPr>
          <w:p>
            <w:r>
              <w:rPr>
                <w:rFonts w:ascii="Calibri" w:hAnsi="Calibri"/>
                <w:sz w:val="22"/>
              </w:rPr>
              <w:t>$3.677B</w:t>
            </w:r>
          </w:p>
        </w:tc>
        <w:tc>
          <w:tcPr>
            <w:tcW w:type="dxa" w:w="1080"/>
          </w:tcPr>
          <w:p>
            <w:r>
              <w:rPr>
                <w:rFonts w:ascii="Calibri" w:hAnsi="Calibri"/>
                <w:b/>
                <w:color w:val="30A46C"/>
                <w:sz w:val="22"/>
              </w:rPr>
              <w:t>+0.8%</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$14.733B</w:t>
            </w:r>
          </w:p>
        </w:tc>
        <w:tc>
          <w:tcPr>
            <w:tcW w:type="dxa" w:w="1080"/>
          </w:tcPr>
          <w:p>
            <w:r>
              <w:rPr>
                <w:rFonts w:ascii="Calibri" w:hAnsi="Calibri"/>
                <w:sz w:val="22"/>
              </w:rPr>
              <w:t>$14.802B</w:t>
            </w:r>
          </w:p>
        </w:tc>
        <w:tc>
          <w:tcPr>
            <w:tcW w:type="dxa" w:w="1080"/>
          </w:tcPr>
          <w:p>
            <w:r>
              <w:rPr>
                <w:rFonts w:ascii="Calibri" w:hAnsi="Calibri"/>
                <w:b/>
                <w:color w:val="30A46C"/>
                <w:sz w:val="22"/>
              </w:rPr>
              <w:t>+0.5%</w:t>
            </w:r>
          </w:p>
        </w:tc>
        <w:tc>
          <w:tcPr>
            <w:tcW w:type="dxa" w:w="1080"/>
          </w:tcPr>
          <w:p>
            <w:r>
              <w:rPr>
                <w:rFonts w:ascii="Calibri" w:hAnsi="Calibri"/>
                <w:sz w:val="22"/>
              </w:rPr>
              <w:t>$14.45B – $14.95B (mid: $14.70B)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above midpoint</w:t>
            </w:r>
          </w:p>
        </w:tc>
      </w:tr>
      <w:tr>
        <w:tc>
          <w:tcPr>
            <w:tcW w:type="dxa" w:w="1080"/>
          </w:tcPr>
          <w:p>
            <w:r>
              <w:rPr>
                <w:rFonts w:ascii="Calibri" w:hAnsi="Calibri"/>
                <w:sz w:val="22"/>
              </w:rPr>
              <w:t>Adj. EPS (Operating) — Q2 2026</w:t>
            </w:r>
          </w:p>
        </w:tc>
        <w:tc>
          <w:tcPr>
            <w:tcW w:type="dxa" w:w="1080"/>
          </w:tcPr>
          <w:p>
            <w:r>
              <w:rPr>
                <w:rFonts w:ascii="Calibri" w:hAnsi="Calibri"/>
                <w:sz w:val="22"/>
              </w:rPr>
              <w:t>$0.598</w:t>
            </w:r>
          </w:p>
        </w:tc>
        <w:tc>
          <w:tcPr>
            <w:tcW w:type="dxa" w:w="1080"/>
          </w:tcPr>
          <w:p>
            <w:r>
              <w:rPr>
                <w:rFonts w:ascii="Calibri" w:hAnsi="Calibri"/>
                <w:sz w:val="22"/>
              </w:rPr>
              <w:t>$0.606</w:t>
            </w:r>
          </w:p>
        </w:tc>
        <w:tc>
          <w:tcPr>
            <w:tcW w:type="dxa" w:w="1080"/>
          </w:tcPr>
          <w:p>
            <w:r>
              <w:rPr>
                <w:rFonts w:ascii="Calibri" w:hAnsi="Calibri"/>
                <w:b/>
                <w:color w:val="30A46C"/>
                <w:sz w:val="22"/>
              </w:rPr>
              <w:t>+1.3%</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(Operating) — FY 2026</w:t>
            </w:r>
          </w:p>
        </w:tc>
        <w:tc>
          <w:tcPr>
            <w:tcW w:type="dxa" w:w="1080"/>
          </w:tcPr>
          <w:p>
            <w:r>
              <w:rPr>
                <w:rFonts w:ascii="Calibri" w:hAnsi="Calibri"/>
                <w:sz w:val="22"/>
              </w:rPr>
              <w:t>$2.462</w:t>
            </w:r>
          </w:p>
        </w:tc>
        <w:tc>
          <w:tcPr>
            <w:tcW w:type="dxa" w:w="1080"/>
          </w:tcPr>
          <w:p>
            <w:r>
              <w:rPr>
                <w:rFonts w:ascii="Calibri" w:hAnsi="Calibri"/>
                <w:sz w:val="22"/>
              </w:rPr>
              <w:t>$2.454</w:t>
            </w:r>
          </w:p>
        </w:tc>
        <w:tc>
          <w:tcPr>
            <w:tcW w:type="dxa" w:w="1080"/>
          </w:tcPr>
          <w:p>
            <w:r>
              <w:rPr>
                <w:rFonts w:ascii="Calibri" w:hAnsi="Calibri"/>
                <w:sz w:val="22"/>
              </w:rPr>
              <w:t>-0.3%</w:t>
            </w:r>
          </w:p>
        </w:tc>
        <w:tc>
          <w:tcPr>
            <w:tcW w:type="dxa" w:w="1080"/>
          </w:tcPr>
          <w:p>
            <w:r>
              <w:rPr>
                <w:rFonts w:ascii="Calibri" w:hAnsi="Calibri"/>
                <w:sz w:val="22"/>
              </w:rPr>
              <w:t>$2.33 – $2.47 (mid: $2.40)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+2.3% above midpoint; near top of range</w:t>
            </w:r>
          </w:p>
        </w:tc>
      </w:tr>
      <w:tr>
        <w:tc>
          <w:tcPr>
            <w:tcW w:type="dxa" w:w="1080"/>
          </w:tcPr>
          <w:p>
            <w:r>
              <w:rPr>
                <w:rFonts w:ascii="Calibri" w:hAnsi="Calibri"/>
                <w:sz w:val="22"/>
              </w:rPr>
              <w:t>FCF — Q2 2026</w:t>
            </w:r>
          </w:p>
        </w:tc>
        <w:tc>
          <w:tcPr>
            <w:tcW w:type="dxa" w:w="1080"/>
          </w:tcPr>
          <w:p>
            <w:r>
              <w:rPr>
                <w:rFonts w:ascii="Calibri" w:hAnsi="Calibri"/>
                <w:sz w:val="22"/>
              </w:rPr>
              <w:t>$451M</w:t>
            </w:r>
          </w:p>
        </w:tc>
        <w:tc>
          <w:tcPr>
            <w:tcW w:type="dxa" w:w="1080"/>
          </w:tcPr>
          <w:p>
            <w:r>
              <w:rPr>
                <w:rFonts w:ascii="Calibri" w:hAnsi="Calibri"/>
                <w:sz w:val="22"/>
              </w:rPr>
              <w:t>$400M</w:t>
            </w:r>
          </w:p>
        </w:tc>
        <w:tc>
          <w:tcPr>
            <w:tcW w:type="dxa" w:w="1080"/>
          </w:tcPr>
          <w:p>
            <w:r>
              <w:rPr>
                <w:rFonts w:ascii="Calibri" w:hAnsi="Calibri"/>
                <w:b/>
                <w:color w:val="E5484D"/>
                <w:sz w:val="22"/>
              </w:rPr>
              <w:t>-11.3%</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FCF — FY 2026</w:t>
            </w:r>
          </w:p>
        </w:tc>
        <w:tc>
          <w:tcPr>
            <w:tcW w:type="dxa" w:w="1080"/>
          </w:tcPr>
          <w:p>
            <w:r>
              <w:rPr>
                <w:rFonts w:ascii="Calibri" w:hAnsi="Calibri"/>
                <w:sz w:val="22"/>
              </w:rPr>
              <w:t>$2.114B</w:t>
            </w:r>
          </w:p>
        </w:tc>
        <w:tc>
          <w:tcPr>
            <w:tcW w:type="dxa" w:w="1080"/>
          </w:tcPr>
          <w:p>
            <w:r>
              <w:rPr>
                <w:rFonts w:ascii="Calibri" w:hAnsi="Calibri"/>
                <w:sz w:val="22"/>
              </w:rPr>
              <w:t>$2.150B</w:t>
            </w:r>
          </w:p>
        </w:tc>
        <w:tc>
          <w:tcPr>
            <w:tcW w:type="dxa" w:w="1080"/>
          </w:tcPr>
          <w:p>
            <w:r>
              <w:rPr>
                <w:rFonts w:ascii="Calibri" w:hAnsi="Calibri"/>
                <w:b/>
                <w:color w:val="30A46C"/>
                <w:sz w:val="22"/>
              </w:rPr>
              <w:t>+1.7%</w:t>
            </w:r>
          </w:p>
        </w:tc>
        <w:tc>
          <w:tcPr>
            <w:tcW w:type="dxa" w:w="1080"/>
          </w:tcPr>
          <w:p>
            <w:r>
              <w:rPr>
                <w:rFonts w:ascii="Calibri" w:hAnsi="Calibri"/>
                <w:sz w:val="22"/>
              </w:rPr>
              <w:t>$1.95B – $2.35B (mid: $2.15B)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 H2 FCF ramp expected</w:t>
            </w:r>
          </w:p>
        </w:tc>
      </w:tr>
    </w:tbl>
    <w:p>
      <w:r>
        <w:rPr>
          <w:rFonts w:ascii="Calibri" w:hAnsi="Calibri"/>
          <w:i/>
          <w:color w:val="525866"/>
          <w:sz w:val="22"/>
        </w:rPr>
        <w:t>Source: Visible Alpha Consensus and Actuals Data. Post-Q1 baseline uses consensus as of May 14, 2026 (approximately 5 trading days after the May 7 print). Current consensus as of August 5, 2026. Q2 FCF estimate drift reflects timing uncertainty around restructuring cash costs.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VTRS has </w:t>
      </w:r>
      <w:r>
        <w:rPr>
          <w:rFonts w:ascii="Calibri" w:hAnsi="Calibri"/>
          <w:b/>
          <w:color w:val="525866"/>
          <w:sz w:val="22"/>
        </w:rPr>
        <w:t>underperformed both XLV and the S&amp;P 500</w:t>
      </w:r>
      <w:r>
        <w:rPr>
          <w:rFonts w:ascii="Calibri" w:hAnsi="Calibri"/>
          <w:color w:val="525866"/>
          <w:sz w:val="22"/>
        </w:rPr>
        <w:t xml:space="preserve"> since the Q1 earnings date (May 7, 2026), declining ~1.4% vs. XLV +13.4% and SPY +5.2% through August 5 — the stock’s move has been driven almost entirely by </w:t>
      </w:r>
      <w:r>
        <w:rPr>
          <w:rFonts w:ascii="Calibri" w:hAnsi="Calibri"/>
          <w:b/>
          <w:color w:val="525866"/>
          <w:sz w:val="22"/>
        </w:rPr>
        <w:t>multiple re-rating</w:t>
      </w:r>
      <w:r>
        <w:rPr>
          <w:rFonts w:ascii="Calibri" w:hAnsi="Calibri"/>
          <w:color w:val="525866"/>
          <w:sz w:val="22"/>
        </w:rPr>
        <w:t xml:space="preserve"> over the trailing 12 months (+97.7% total return, with EV/EBITDA expanding from 5.84x to 7.44x), but the post-Q1 period shows the market pausing to see whether the China and margin story is durable.</w:t>
      </w:r>
    </w:p>
    <w:p>
      <w:pPr>
        <w:pStyle w:val="Heading3"/>
      </w:pPr>
      <w:r>
        <w:rPr>
          <w:rFonts w:ascii="Calibri" w:hAnsi="Calibri"/>
          <w:b/>
          <w:color w:val="3B4259"/>
          <w:sz w:val="24"/>
        </w:rPr>
        <w:t>VTRS vs. XLV vs. S&amp;P 500 — Indexed Performance Since Q1 Earnings (May 7,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VTRS (Indexed)</w:t>
            </w:r>
          </w:p>
        </w:tc>
        <w:tc>
          <w:tcPr>
            <w:tcW w:type="dxa" w:w="2160"/>
            <w:shd w:val="clear" w:color="auto" w:fill="3B4259"/>
          </w:tcPr>
          <w:p>
            <w:r>
              <w:rPr>
                <w:rFonts w:ascii="Calibri" w:hAnsi="Calibri"/>
                <w:b/>
                <w:color w:val="FFFFFF"/>
                <w:sz w:val="22"/>
              </w:rPr>
              <w:t>XLV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7, 2026 (Q1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15, 2026</w:t>
            </w:r>
          </w:p>
        </w:tc>
        <w:tc>
          <w:tcPr>
            <w:tcW w:type="dxa" w:w="2160"/>
          </w:tcPr>
          <w:p>
            <w:r>
              <w:rPr>
                <w:rFonts w:ascii="Calibri" w:hAnsi="Calibri"/>
                <w:sz w:val="22"/>
              </w:rPr>
              <w:t>94.8</w:t>
            </w:r>
          </w:p>
        </w:tc>
        <w:tc>
          <w:tcPr>
            <w:tcW w:type="dxa" w:w="2160"/>
          </w:tcPr>
          <w:p>
            <w:r>
              <w:rPr>
                <w:rFonts w:ascii="Calibri" w:hAnsi="Calibri"/>
                <w:sz w:val="22"/>
              </w:rPr>
              <w:t>100.3</w:t>
            </w:r>
          </w:p>
        </w:tc>
        <w:tc>
          <w:tcPr>
            <w:tcW w:type="dxa" w:w="2160"/>
          </w:tcPr>
          <w:p>
            <w:r>
              <w:rPr>
                <w:rFonts w:ascii="Calibri" w:hAnsi="Calibri"/>
                <w:sz w:val="22"/>
              </w:rPr>
              <w:t>101.0</w:t>
            </w:r>
          </w:p>
        </w:tc>
      </w:tr>
      <w:tr>
        <w:tc>
          <w:tcPr>
            <w:tcW w:type="dxa" w:w="2160"/>
          </w:tcPr>
          <w:p>
            <w:r>
              <w:rPr>
                <w:rFonts w:ascii="Calibri" w:hAnsi="Calibri"/>
                <w:sz w:val="22"/>
              </w:rPr>
              <w:t>Jun 1, 2026</w:t>
            </w:r>
          </w:p>
        </w:tc>
        <w:tc>
          <w:tcPr>
            <w:tcW w:type="dxa" w:w="2160"/>
          </w:tcPr>
          <w:p>
            <w:r>
              <w:rPr>
                <w:rFonts w:ascii="Calibri" w:hAnsi="Calibri"/>
                <w:sz w:val="22"/>
              </w:rPr>
              <w:t>90.9</w:t>
            </w:r>
          </w:p>
        </w:tc>
        <w:tc>
          <w:tcPr>
            <w:tcW w:type="dxa" w:w="2160"/>
          </w:tcPr>
          <w:p>
            <w:r>
              <w:rPr>
                <w:rFonts w:ascii="Calibri" w:hAnsi="Calibri"/>
                <w:sz w:val="22"/>
              </w:rPr>
              <w:t>102.2</w:t>
            </w:r>
          </w:p>
        </w:tc>
        <w:tc>
          <w:tcPr>
            <w:tcW w:type="dxa" w:w="2160"/>
          </w:tcPr>
          <w:p>
            <w:r>
              <w:rPr>
                <w:rFonts w:ascii="Calibri" w:hAnsi="Calibri"/>
                <w:sz w:val="22"/>
              </w:rPr>
              <w:t>103.7</w:t>
            </w:r>
          </w:p>
        </w:tc>
      </w:tr>
      <w:tr>
        <w:tc>
          <w:tcPr>
            <w:tcW w:type="dxa" w:w="2160"/>
          </w:tcPr>
          <w:p>
            <w:r>
              <w:rPr>
                <w:rFonts w:ascii="Calibri" w:hAnsi="Calibri"/>
                <w:sz w:val="22"/>
              </w:rPr>
              <w:t>Jun 18, 2026 (€650M debt offering)</w:t>
            </w:r>
          </w:p>
        </w:tc>
        <w:tc>
          <w:tcPr>
            <w:tcW w:type="dxa" w:w="2160"/>
          </w:tcPr>
          <w:p>
            <w:r>
              <w:rPr>
                <w:rFonts w:ascii="Calibri" w:hAnsi="Calibri"/>
                <w:sz w:val="22"/>
              </w:rPr>
              <w:t>88.4</w:t>
            </w:r>
          </w:p>
        </w:tc>
        <w:tc>
          <w:tcPr>
            <w:tcW w:type="dxa" w:w="2160"/>
          </w:tcPr>
          <w:p>
            <w:r>
              <w:rPr>
                <w:rFonts w:ascii="Calibri" w:hAnsi="Calibri"/>
                <w:sz w:val="22"/>
              </w:rPr>
              <w:t>103.2</w:t>
            </w:r>
          </w:p>
        </w:tc>
        <w:tc>
          <w:tcPr>
            <w:tcW w:type="dxa" w:w="2160"/>
          </w:tcPr>
          <w:p>
            <w:r>
              <w:rPr>
                <w:rFonts w:ascii="Calibri" w:hAnsi="Calibri"/>
                <w:sz w:val="22"/>
              </w:rPr>
              <w:t>102.1</w:t>
            </w:r>
          </w:p>
        </w:tc>
      </w:tr>
      <w:tr>
        <w:tc>
          <w:tcPr>
            <w:tcW w:type="dxa" w:w="2160"/>
          </w:tcPr>
          <w:p>
            <w:r>
              <w:rPr>
                <w:rFonts w:ascii="Calibri" w:hAnsi="Calibri"/>
                <w:sz w:val="22"/>
              </w:rPr>
              <w:t>Jul 1, 2026 (¥40B term loan)</w:t>
            </w:r>
          </w:p>
        </w:tc>
        <w:tc>
          <w:tcPr>
            <w:tcW w:type="dxa" w:w="2160"/>
          </w:tcPr>
          <w:p>
            <w:r>
              <w:rPr>
                <w:rFonts w:ascii="Calibri" w:hAnsi="Calibri"/>
                <w:sz w:val="22"/>
              </w:rPr>
              <w:t>93.0</w:t>
            </w:r>
          </w:p>
        </w:tc>
        <w:tc>
          <w:tcPr>
            <w:tcW w:type="dxa" w:w="2160"/>
          </w:tcPr>
          <w:p>
            <w:r>
              <w:rPr>
                <w:rFonts w:ascii="Calibri" w:hAnsi="Calibri"/>
                <w:sz w:val="22"/>
              </w:rPr>
              <w:t>110.2</w:t>
            </w:r>
          </w:p>
        </w:tc>
        <w:tc>
          <w:tcPr>
            <w:tcW w:type="dxa" w:w="2160"/>
          </w:tcPr>
          <w:p>
            <w:r>
              <w:rPr>
                <w:rFonts w:ascii="Calibri" w:hAnsi="Calibri"/>
                <w:sz w:val="22"/>
              </w:rPr>
              <w:t>101.9</w:t>
            </w:r>
          </w:p>
        </w:tc>
      </w:tr>
      <w:tr>
        <w:tc>
          <w:tcPr>
            <w:tcW w:type="dxa" w:w="2160"/>
          </w:tcPr>
          <w:p>
            <w:r>
              <w:rPr>
                <w:rFonts w:ascii="Calibri" w:hAnsi="Calibri"/>
                <w:sz w:val="22"/>
              </w:rPr>
              <w:t>Jul 16, 2026</w:t>
            </w:r>
          </w:p>
        </w:tc>
        <w:tc>
          <w:tcPr>
            <w:tcW w:type="dxa" w:w="2160"/>
          </w:tcPr>
          <w:p>
            <w:r>
              <w:rPr>
                <w:rFonts w:ascii="Calibri" w:hAnsi="Calibri"/>
                <w:sz w:val="22"/>
              </w:rPr>
              <w:t>99.7</w:t>
            </w:r>
          </w:p>
        </w:tc>
        <w:tc>
          <w:tcPr>
            <w:tcW w:type="dxa" w:w="2160"/>
          </w:tcPr>
          <w:p>
            <w:r>
              <w:rPr>
                <w:rFonts w:ascii="Calibri" w:hAnsi="Calibri"/>
                <w:sz w:val="22"/>
              </w:rPr>
              <w:t>111.8</w:t>
            </w:r>
          </w:p>
        </w:tc>
        <w:tc>
          <w:tcPr>
            <w:tcW w:type="dxa" w:w="2160"/>
          </w:tcPr>
          <w:p>
            <w:r>
              <w:rPr>
                <w:rFonts w:ascii="Calibri" w:hAnsi="Calibri"/>
                <w:sz w:val="22"/>
              </w:rPr>
              <w:t>102.6</w:t>
            </w:r>
          </w:p>
        </w:tc>
      </w:tr>
      <w:tr>
        <w:tc>
          <w:tcPr>
            <w:tcW w:type="dxa" w:w="2160"/>
          </w:tcPr>
          <w:p>
            <w:r>
              <w:rPr>
                <w:rFonts w:ascii="Calibri" w:hAnsi="Calibri"/>
                <w:sz w:val="22"/>
              </w:rPr>
              <w:t>Jul 28, 2026</w:t>
            </w:r>
          </w:p>
        </w:tc>
        <w:tc>
          <w:tcPr>
            <w:tcW w:type="dxa" w:w="2160"/>
          </w:tcPr>
          <w:p>
            <w:r>
              <w:rPr>
                <w:rFonts w:ascii="Calibri" w:hAnsi="Calibri"/>
                <w:sz w:val="22"/>
              </w:rPr>
              <w:t>102.7</w:t>
            </w:r>
          </w:p>
        </w:tc>
        <w:tc>
          <w:tcPr>
            <w:tcW w:type="dxa" w:w="2160"/>
          </w:tcPr>
          <w:p>
            <w:r>
              <w:rPr>
                <w:rFonts w:ascii="Calibri" w:hAnsi="Calibri"/>
                <w:sz w:val="22"/>
              </w:rPr>
              <w:t>115.6</w:t>
            </w:r>
          </w:p>
        </w:tc>
        <w:tc>
          <w:tcPr>
            <w:tcW w:type="dxa" w:w="2160"/>
          </w:tcPr>
          <w:p>
            <w:r>
              <w:rPr>
                <w:rFonts w:ascii="Calibri" w:hAnsi="Calibri"/>
                <w:sz w:val="22"/>
              </w:rPr>
              <w:t>101.3</w:t>
            </w:r>
          </w:p>
        </w:tc>
      </w:tr>
      <w:tr>
        <w:tc>
          <w:tcPr>
            <w:tcW w:type="dxa" w:w="2160"/>
          </w:tcPr>
          <w:p>
            <w:r>
              <w:rPr>
                <w:rFonts w:ascii="Calibri" w:hAnsi="Calibri"/>
                <w:sz w:val="22"/>
              </w:rPr>
              <w:t>Aug 5, 2026 (Prep Date)</w:t>
            </w:r>
          </w:p>
        </w:tc>
        <w:tc>
          <w:tcPr>
            <w:tcW w:type="dxa" w:w="2160"/>
          </w:tcPr>
          <w:p>
            <w:r>
              <w:rPr>
                <w:rFonts w:ascii="Calibri" w:hAnsi="Calibri"/>
                <w:sz w:val="22"/>
              </w:rPr>
              <w:t>101.5</w:t>
            </w:r>
          </w:p>
        </w:tc>
        <w:tc>
          <w:tcPr>
            <w:tcW w:type="dxa" w:w="2160"/>
          </w:tcPr>
          <w:p>
            <w:r>
              <w:rPr>
                <w:rFonts w:ascii="Calibri" w:hAnsi="Calibri"/>
                <w:sz w:val="22"/>
              </w:rPr>
              <w:t>113.4</w:t>
            </w:r>
          </w:p>
        </w:tc>
        <w:tc>
          <w:tcPr>
            <w:tcW w:type="dxa" w:w="2160"/>
          </w:tcPr>
          <w:p>
            <w:r>
              <w:rPr>
                <w:rFonts w:ascii="Calibri" w:hAnsi="Calibri"/>
                <w:sz w:val="22"/>
              </w:rPr>
              <w:t>105.2</w:t>
            </w:r>
          </w:p>
        </w:tc>
      </w:tr>
    </w:tbl>
    <w:p>
      <w:r>
        <w:rPr>
          <w:rFonts w:ascii="Calibri" w:hAnsi="Calibri"/>
          <w:b/>
          <w:color w:val="525866"/>
          <w:sz w:val="22"/>
        </w:rPr>
        <w:t xml:space="preserve">Note: </w:t>
      </w:r>
      <w:r>
        <w:rPr>
          <w:rFonts w:ascii="Calibri" w:hAnsi="Calibri"/>
          <w:color w:val="525866"/>
          <w:sz w:val="22"/>
        </w:rPr>
        <w:t>XLV (Health Care Select Sector SPDR ETF) used as the sector benchmark. Indexed to 100 at May 7, 2026 close. VTRS closed at $17.39 on May 7 and $17.65 on August 5 (+1.5%). XLV closed at $144.72 on May 7 and $164.16 on August 5 (+13.4%). SPY closed at $731.58 on May 7 and $769.79 on August 5 (+5.2%). VTRS’s underperformance vs. XLV reflects sector rotation into healthcare broadly while VTRS digested the Q1 beat without a guidance raise. Source: Stock Price Data.</w:t>
      </w:r>
    </w:p>
    <w:p>
      <w:r>
        <w:rPr>
          <w:rFonts w:ascii="Calibri" w:hAnsi="Calibri"/>
          <w:b/>
          <w:color w:val="525866"/>
          <w:sz w:val="22"/>
        </w:rPr>
        <w:t xml:space="preserve">Longer-term context: </w:t>
      </w:r>
      <w:r>
        <w:rPr>
          <w:rFonts w:ascii="Calibri" w:hAnsi="Calibri"/>
          <w:color w:val="525866"/>
          <w:sz w:val="22"/>
        </w:rPr>
        <w:t>Over the trailing 12 months, VTRS is up +97.7%, with EV/EBITDA expanding from 5.84x to 7.44x — the majority of the move has been multiple-driven (+27.3% multiple expansion) rather than earnings-driven, suggesting the stock is pricing in execution on the turnaround story. At 7.44x NTM EV/EBITDA and 6.92x NTM P/E, VTRS remains at a significant discount to specialty pharma peers, leaving room for further re-rating if Q2 confirms the growth trajectory. Source: Stock Performance Decomposition Data.</w:t>
      </w:r>
    </w:p>
    <w:p>
      <w:r>
        <w:br w:type="page"/>
      </w:r>
    </w:p>
    <w:p>
      <w:pPr>
        <w:pStyle w:val="Heading2"/>
      </w:pPr>
      <w:r>
        <w:rPr>
          <w:rFonts w:ascii="Calibri" w:hAnsi="Calibri"/>
          <w:b/>
          <w:color w:val="3B4259"/>
          <w:sz w:val="28"/>
        </w:rPr>
        <w:t>6. Material News &amp; Developments (Since Q1 Earnings — May 7, 2026)</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XULANE LO PDUFA date of July 30, 2026</w:t>
      </w:r>
      <w:r>
        <w:rPr>
          <w:rFonts w:ascii="Calibri" w:hAnsi="Calibri"/>
          <w:color w:val="525866"/>
          <w:sz w:val="22"/>
        </w:rPr>
        <w:t xml:space="preserve"> — any FDA action on this first-of-two contraceptive patch products (peak sales &gt;$300M collectively) will be a key topic on the Q2 call and could signal the pace of the new product revenue ramp.</w:t>
      </w:r>
    </w:p>
    <w:p>
      <w:pPr>
        <w:pStyle w:val="ListBullet"/>
        <w:ind w:left="360" w:hanging="360"/>
      </w:pPr>
      <w:r>
        <w:rPr>
          <w:rFonts w:ascii="Calibri" w:hAnsi="Calibri"/>
          <w:b/>
          <w:color w:val="525866"/>
          <w:sz w:val="22"/>
        </w:rPr>
        <w:t>July 30, 2026 — XULANE LO PDUFA Date (FDA Action Expected):</w:t>
      </w:r>
      <w:r>
        <w:rPr>
          <w:rFonts w:ascii="Calibri" w:hAnsi="Calibri"/>
          <w:color w:val="525866"/>
          <w:sz w:val="22"/>
        </w:rPr>
        <w:t xml:space="preserve"> The low-dose estrogen weekly contraceptive patch (150 mcg norelgestromin / 17.5 mcg ethinyl estradiol) had its PDUFA goal date on July 30, 2026. Management confirmed on the Q1 call it was “on track.” This is the first of two contraceptive patch products with collective peak sales potential &gt;$300M. Any FDA approval, complete response letter, or label commentary will be a key Q2 call topic. Implication: Approval would be a meaningful near-term catalyst and validate the new product revenue ramp.</w:t>
      </w:r>
    </w:p>
    <w:p>
      <w:pPr>
        <w:pStyle w:val="ListBullet"/>
        <w:ind w:left="360" w:hanging="360"/>
      </w:pPr>
      <w:r>
        <w:rPr>
          <w:rFonts w:ascii="Calibri" w:hAnsi="Calibri"/>
          <w:b/>
          <w:color w:val="525866"/>
          <w:sz w:val="22"/>
        </w:rPr>
        <w:t>July 1, 2026 — ¥40 Billion Yen Term Loan (Effective Date):</w:t>
      </w:r>
      <w:r>
        <w:rPr>
          <w:rFonts w:ascii="Calibri" w:hAnsi="Calibri"/>
          <w:color w:val="525866"/>
          <w:sz w:val="22"/>
        </w:rPr>
        <w:t xml:space="preserve"> Viatris entered into an amended and restated term loan credit agreement with Mizuho Bank as administrative agent, providing a ¥40B (~$275M) senior unsecured term loan facility. Proceeds used to refinance the prior ¥40B facility dated July 1, 2021. The facility bears interest at TIBO Rate + 1.10% per annum and matures three years from closing. Financial covenant: leverage ratio ≤3.75x. Implication: Routine refinancing; no change to leverage profile, but confirms continued access to Japanese yen-denominated financing aligned with Japan operations.</w:t>
      </w:r>
    </w:p>
    <w:p>
      <w:pPr>
        <w:pStyle w:val="ListBullet"/>
        <w:ind w:left="360" w:hanging="360"/>
      </w:pPr>
      <w:r>
        <w:rPr>
          <w:rFonts w:ascii="Calibri" w:hAnsi="Calibri"/>
          <w:b/>
          <w:color w:val="525866"/>
          <w:sz w:val="22"/>
        </w:rPr>
        <w:t>June 18, 2026 — €650 Million Senior Notes Offering (Effective Date):</w:t>
      </w:r>
      <w:r>
        <w:rPr>
          <w:rFonts w:ascii="Calibri" w:hAnsi="Calibri"/>
          <w:color w:val="525866"/>
          <w:sz w:val="22"/>
        </w:rPr>
        <w:t xml:space="preserve"> Viatris completed a €650M debt offering to refinance its 2026 notes. Underwriting agreement signed June 15, 2026 (disclosure date). Implication: Proactive liability management; extends debt maturity profile and reduces near-term refinancing risk. No change to leverage guidance.</w:t>
      </w:r>
    </w:p>
    <w:p>
      <w:pPr>
        <w:pStyle w:val="ListBullet"/>
        <w:ind w:left="360" w:hanging="360"/>
      </w:pPr>
      <w:r>
        <w:rPr>
          <w:rFonts w:ascii="Calibri" w:hAnsi="Calibri"/>
          <w:b/>
          <w:color w:val="525866"/>
          <w:sz w:val="22"/>
        </w:rPr>
        <w:t>May 15, 2026 — Annual Meeting: All Proposals Approved:</w:t>
      </w:r>
      <w:r>
        <w:rPr>
          <w:rFonts w:ascii="Calibri" w:hAnsi="Calibri"/>
          <w:color w:val="525866"/>
          <w:sz w:val="22"/>
        </w:rPr>
        <w:t xml:space="preserve"> Shareholders approved all proposals at the annual meeting, including director elections. No contested votes or governance concerns flagged. Implication: Routine; no overhang.</w:t>
      </w:r>
    </w:p>
    <w:p>
      <w:pPr>
        <w:pStyle w:val="ListBullet"/>
        <w:ind w:left="360" w:hanging="360"/>
      </w:pPr>
      <w:r>
        <w:rPr>
          <w:rFonts w:ascii="Calibri" w:hAnsi="Calibri"/>
          <w:b/>
          <w:color w:val="525866"/>
          <w:sz w:val="22"/>
        </w:rPr>
        <w:t>May 12, 2026 — BofA Global Healthcare Conference:</w:t>
      </w:r>
      <w:r>
        <w:rPr>
          <w:rFonts w:ascii="Calibri" w:hAnsi="Calibri"/>
          <w:color w:val="525866"/>
          <w:sz w:val="22"/>
        </w:rPr>
        <w:t xml:space="preserve"> CEO Scott Smith reiterated the “2-plus percent operational growth” trend line, confirmed North America up 3% with “continued strong trends” from generic Symbicort (Breyna), and stated the business is “in a really good spot as we look out to the rest of the year.” Confirmed $120M net savings target on track. XULANE LO PDUFA flagged for end of July. Implication: Constructive tone with no negative pre-announcement signals.</w:t>
      </w:r>
    </w:p>
    <w:p>
      <w:pPr>
        <w:pStyle w:val="ListBullet"/>
        <w:ind w:left="360" w:hanging="360"/>
      </w:pPr>
      <w:r>
        <w:rPr>
          <w:rFonts w:ascii="Calibri" w:hAnsi="Calibri"/>
          <w:b/>
          <w:color w:val="525866"/>
          <w:sz w:val="22"/>
        </w:rPr>
        <w:t>May 7, 2026 — CFO Transition (Effective May 8, 2026):</w:t>
      </w:r>
      <w:r>
        <w:rPr>
          <w:rFonts w:ascii="Calibri" w:hAnsi="Calibri"/>
          <w:color w:val="525866"/>
          <w:sz w:val="22"/>
        </w:rPr>
        <w:t xml:space="preserve"> Doretta Mistras departed as CFO to pursue another opportunity (announced May 4, 2026; effective May 8, 2026). Paul Campbell (Chief Accounting Officer and Corporate Controller, 23+ years at Viatris/Mylan) named Interim CFO. Management explicitly stated: “no changes to capital allocation or financial policy.” Implication: Q2 will be Campbell’s first full quarter as Interim CFO; watch for any tone shift on capital deployment or BD strategy, though management has been emphatic about continuity.</w:t>
      </w:r>
    </w:p>
    <w:p>
      <w:pPr>
        <w:pStyle w:val="ListBullet"/>
        <w:ind w:left="360" w:hanging="360"/>
      </w:pPr>
      <w:r>
        <w:rPr>
          <w:rFonts w:ascii="Calibri" w:hAnsi="Calibri"/>
          <w:b/>
          <w:color w:val="525866"/>
          <w:sz w:val="22"/>
        </w:rPr>
        <w:t>May 7, 2026 — Fast-Acting Meloxicam NDA Accepted for Review:</w:t>
      </w:r>
      <w:r>
        <w:rPr>
          <w:rFonts w:ascii="Calibri" w:hAnsi="Calibri"/>
          <w:color w:val="525866"/>
          <w:sz w:val="22"/>
        </w:rPr>
        <w:t xml:space="preserve"> FDA accepted the NDA for fast-acting meloxicam (moderate-to-severe acute pain). PDUFA date expected by year-end 2026. Specialty salesforce of 150–200 reps planned; initial focus on outpatient post-surgical pain. Peak sales potential up to $500M. Implication: Approval would be the largest near-term pipeline catalyst; meaningful revenue contribution expected in 2027.</w:t>
      </w:r>
    </w:p>
    <w:p>
      <w:pPr>
        <w:pStyle w:val="ListBullet"/>
        <w:ind w:left="360" w:hanging="360"/>
      </w:pPr>
      <w:r>
        <w:rPr>
          <w:rFonts w:ascii="Calibri" w:hAnsi="Calibri"/>
          <w:b/>
          <w:color w:val="525866"/>
          <w:sz w:val="22"/>
        </w:rPr>
        <w:t>Ongoing — Tariff / Trade Policy Risk:</w:t>
      </w:r>
      <w:r>
        <w:rPr>
          <w:rFonts w:ascii="Calibri" w:hAnsi="Calibri"/>
          <w:color w:val="525866"/>
          <w:sz w:val="22"/>
        </w:rPr>
        <w:t xml:space="preserve"> Multiple peers (Teva, Amneal, Dr. Reddy’s) flagged potential US generic drug tariffs as an emerging risk in Q2 2026 earnings calls. Viatris has not yet commented publicly on tariff exposure. Implication: With a global manufacturing footprint and significant India-based production, VTRS could face cost headwinds if tariffs are implemented; watch for management commentary on Q2 call.</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Only one insider transaction was filed in the post-Q1 window — a </w:t>
      </w:r>
      <w:r>
        <w:rPr>
          <w:rFonts w:ascii="Calibri" w:hAnsi="Calibri"/>
          <w:b/>
          <w:color w:val="525866"/>
          <w:sz w:val="22"/>
        </w:rPr>
        <w:t>10b5-1 planned sale by Interim CFO Paul Campbell</w:t>
      </w:r>
      <w:r>
        <w:rPr>
          <w:rFonts w:ascii="Calibri" w:hAnsi="Calibri"/>
          <w:color w:val="525866"/>
          <w:sz w:val="22"/>
        </w:rPr>
        <w:t xml:space="preserve"> shortly after assuming the role. The pre-planned nature limits the signal, but the modest size relative to his remaining position is not alarming.</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 /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Paul Campbell</w:t>
            </w:r>
          </w:p>
        </w:tc>
        <w:tc>
          <w:tcPr>
            <w:tcW w:type="dxa" w:w="1234"/>
          </w:tcPr>
          <w:p>
            <w:r>
              <w:rPr>
                <w:rFonts w:ascii="Calibri" w:hAnsi="Calibri"/>
                <w:sz w:val="22"/>
              </w:rPr>
              <w:t>Interim CFO / Chief Accounting Officer</w:t>
            </w:r>
          </w:p>
        </w:tc>
        <w:tc>
          <w:tcPr>
            <w:tcW w:type="dxa" w:w="1234"/>
          </w:tcPr>
          <w:p>
            <w:r>
              <w:rPr>
                <w:rFonts w:ascii="Calibri" w:hAnsi="Calibri"/>
                <w:sz w:val="22"/>
              </w:rPr>
              <w:t>10b5-1 Planned Sale (Open Market)</w:t>
            </w:r>
          </w:p>
        </w:tc>
        <w:tc>
          <w:tcPr>
            <w:tcW w:type="dxa" w:w="1234"/>
          </w:tcPr>
          <w:p>
            <w:r>
              <w:rPr>
                <w:rFonts w:ascii="Calibri" w:hAnsi="Calibri"/>
                <w:sz w:val="22"/>
              </w:rPr>
              <w:t>50,076 shares (~$880K at ~$17.57 avg)</w:t>
            </w:r>
          </w:p>
        </w:tc>
        <w:tc>
          <w:tcPr>
            <w:tcW w:type="dxa" w:w="1234"/>
          </w:tcPr>
          <w:p>
            <w:r>
              <w:rPr>
                <w:rFonts w:ascii="Calibri" w:hAnsi="Calibri"/>
                <w:sz w:val="22"/>
              </w:rPr>
              <w:t>June 25, 2026</w:t>
            </w:r>
          </w:p>
        </w:tc>
        <w:tc>
          <w:tcPr>
            <w:tcW w:type="dxa" w:w="1234"/>
          </w:tcPr>
          <w:p>
            <w:r>
              <w:rPr>
                <w:rFonts w:ascii="Calibri" w:hAnsi="Calibri"/>
                <w:sz w:val="22"/>
              </w:rPr>
              <w:t>June 26, 2026</w:t>
            </w:r>
          </w:p>
        </w:tc>
        <w:tc>
          <w:tcPr>
            <w:tcW w:type="dxa" w:w="1234"/>
          </w:tcPr>
          <w:p>
            <w:r>
              <w:rPr>
                <w:rFonts w:ascii="Calibri" w:hAnsi="Calibri"/>
                <w:sz w:val="22"/>
              </w:rPr>
              <w:t>Pre-planned 10b5-1 sale; 316,212 shares retained post-transaction (~86% of prior position). Executed shortly after assuming Interim CFO role (effective May 8, 2026). Obligation-driven; limited negative signal.</w:t>
            </w:r>
          </w:p>
        </w:tc>
      </w:tr>
    </w:tbl>
    <w:p>
      <w:r>
        <w:rPr>
          <w:rFonts w:ascii="Calibri" w:hAnsi="Calibri"/>
          <w:i/>
          <w:color w:val="525866"/>
          <w:sz w:val="22"/>
        </w:rPr>
        <w:t>No open-market discretionary buys or sells were filed by other insiders (directors, CEO, or other officers) in the May 7 – August 5, 2026 window. The absence of open-market buying by senior leadership is notable given the stock’s pullback from the Q1 earnings-day high, but is not unusual for a company in a quiet period ahead of earnings. Source: SEC Form 4 Filings / Insider Transaction Data.</w:t>
      </w:r>
    </w:p>
    <w:p>
      <w:r>
        <w:br w:type="page"/>
      </w:r>
    </w:p>
    <w:p>
      <w:pPr>
        <w:pStyle w:val="Heading2"/>
      </w:pPr>
      <w:r>
        <w:rPr>
          <w:rFonts w:ascii="Calibri" w:hAnsi="Calibri"/>
          <w:b/>
          <w:color w:val="3B4259"/>
          <w:sz w:val="28"/>
        </w:rPr>
        <w:t>8. Peer Commentary &amp; Read-Through</w:t>
      </w:r>
    </w:p>
    <w:p>
      <w:r>
        <w:rPr>
          <w:rFonts w:ascii="Calibri" w:hAnsi="Calibri"/>
          <w:b/>
          <w:color w:val="525866"/>
          <w:sz w:val="22"/>
        </w:rPr>
        <w:t xml:space="preserve">Key Takeaway: </w:t>
      </w:r>
      <w:r>
        <w:rPr>
          <w:rFonts w:ascii="Calibri" w:hAnsi="Calibri"/>
          <w:color w:val="525866"/>
          <w:sz w:val="22"/>
        </w:rPr>
        <w:t xml:space="preserve">Peer commentary from June–August 2026 is broadly constructive for VTRS’s Q2 setup: </w:t>
      </w:r>
      <w:r>
        <w:rPr>
          <w:rFonts w:ascii="Calibri" w:hAnsi="Calibri"/>
          <w:b/>
          <w:color w:val="525866"/>
          <w:sz w:val="22"/>
        </w:rPr>
        <w:t>Teva confirmed biosimilar momentum and flagged generic market softness</w:t>
      </w:r>
      <w:r>
        <w:rPr>
          <w:rFonts w:ascii="Calibri" w:hAnsi="Calibri"/>
          <w:color w:val="525866"/>
          <w:sz w:val="22"/>
        </w:rPr>
        <w:t xml:space="preserve">; </w:t>
      </w:r>
      <w:r>
        <w:rPr>
          <w:rFonts w:ascii="Calibri" w:hAnsi="Calibri"/>
          <w:b/>
          <w:color w:val="525866"/>
          <w:sz w:val="22"/>
        </w:rPr>
        <w:t>Amneal raised guidance and highlighted strong patch/injectable demand</w:t>
      </w:r>
      <w:r>
        <w:rPr>
          <w:rFonts w:ascii="Calibri" w:hAnsi="Calibri"/>
          <w:color w:val="525866"/>
          <w:sz w:val="22"/>
        </w:rPr>
        <w:t xml:space="preserve">; and </w:t>
      </w:r>
      <w:r>
        <w:rPr>
          <w:rFonts w:ascii="Calibri" w:hAnsi="Calibri"/>
          <w:b/>
          <w:color w:val="525866"/>
          <w:sz w:val="22"/>
        </w:rPr>
        <w:t>Dr. Reddy’s signaled double-digit US generic growth</w:t>
      </w:r>
      <w:r>
        <w:rPr>
          <w:rFonts w:ascii="Calibri" w:hAnsi="Calibri"/>
          <w:color w:val="525866"/>
          <w:sz w:val="22"/>
        </w:rPr>
        <w:t>. The common thread across all three is tariff uncertainty as an emerging industry risk — a topic VTRS has not yet addressed publicly.</w:t>
      </w:r>
    </w:p>
    <w:p>
      <w:r>
        <w:rPr>
          <w:rFonts w:ascii="Calibri" w:hAnsi="Calibri"/>
          <w:b/>
          <w:color w:val="525866"/>
          <w:sz w:val="22"/>
        </w:rPr>
        <w:t xml:space="preserve">Methodology: </w:t>
      </w:r>
      <w:r>
        <w:rPr>
          <w:rFonts w:ascii="Calibri" w:hAnsi="Calibri"/>
          <w:color w:val="525866"/>
          <w:sz w:val="22"/>
        </w:rPr>
        <w:t>Only commentary dated June 5 – August 5, 2026 that discusses the current June quarter (Q2 2026) or forward/post-June-quarter outlook is included below. Retrospective prior-quarter observations (e.g., Q1 2026 results commentary) are excluded. Sources: earnings call transcripts and conference presentations from TEVA (Q2 2026 earnings, July 29, 2026), AMRX (Q2 2026 earnings, July 30, 2026; Goldman Sachs Healthcare Conference, June 9, 2026), ALKS (Q2 2026 earnings, July 28, 2026), and RDY (Q1 FY2027 earnings, July 22, 2026).</w:t>
      </w:r>
    </w:p>
    <w:p>
      <w:pPr>
        <w:pStyle w:val="Heading3"/>
      </w:pPr>
      <w:r>
        <w:rPr>
          <w:rFonts w:ascii="Calibri" w:hAnsi="Calibri"/>
          <w:b/>
          <w:color w:val="3B4259"/>
          <w:sz w:val="24"/>
        </w:rPr>
        <w:t>Teva Pharmaceutical (TEVA) — Q2 2026 Earnings Call (July 29, 2026)</w:t>
      </w:r>
    </w:p>
    <w:p>
      <w:r>
        <w:rPr>
          <w:rFonts w:ascii="Calibri" w:hAnsi="Calibri"/>
          <w:b/>
          <w:color w:val="525866"/>
          <w:sz w:val="22"/>
        </w:rPr>
        <w:t>Relevance to VTRS: High</w:t>
      </w:r>
      <w:r>
        <w:rPr>
          <w:rFonts w:ascii="Calibri" w:hAnsi="Calibri"/>
          <w:color w:val="525866"/>
          <w:sz w:val="22"/>
        </w:rPr>
        <w:t xml:space="preserve"> — Teva is VTRS’s closest peer in global generics and biosimilars.</w:t>
      </w:r>
    </w:p>
    <w:p>
      <w:pPr>
        <w:pStyle w:val="ListBullet"/>
        <w:ind w:left="360" w:hanging="360"/>
      </w:pPr>
      <w:r>
        <w:rPr>
          <w:rFonts w:ascii="Calibri" w:hAnsi="Calibri"/>
          <w:b/>
          <w:color w:val="525866"/>
          <w:sz w:val="22"/>
        </w:rPr>
        <w:t>Generic market softness flagged for 2026:</w:t>
      </w:r>
      <w:r>
        <w:rPr>
          <w:rFonts w:ascii="Calibri" w:hAnsi="Calibri"/>
          <w:color w:val="525866"/>
          <w:sz w:val="22"/>
        </w:rPr>
        <w:t xml:space="preserve"> Teva guided global generics revenue for full-year 2026 to be “flat to down low single digit in local currency” vs. 2025, citing “fewer high-value launches in 2026, lower seasonal OTC, and increased competition in some markets.” Long-term, Teva sees a “stable generics business capable of delivering 1–2% annual growth” supported by new product launches. </w:t>
      </w:r>
      <w:r>
        <w:rPr>
          <w:rFonts w:ascii="Calibri" w:hAnsi="Calibri"/>
          <w:b/>
          <w:color w:val="525866"/>
          <w:sz w:val="22"/>
        </w:rPr>
        <w:t>VTRS read-through:</w:t>
      </w:r>
      <w:r>
        <w:rPr>
          <w:rFonts w:ascii="Calibri" w:hAnsi="Calibri"/>
          <w:color w:val="525866"/>
          <w:sz w:val="22"/>
        </w:rPr>
        <w:t xml:space="preserve"> Confirms a challenging near-term generic pricing environment; VTRS’s North America generics strength (up 3% in Q1) may face similar headwinds in Q2, though VTRS’s complex generics mix (Breyna/generic Symbicort, iron sucrose, octreotide) provides some insulation.</w:t>
      </w:r>
    </w:p>
    <w:p>
      <w:pPr>
        <w:pStyle w:val="ListBullet"/>
        <w:ind w:left="360" w:hanging="360"/>
      </w:pPr>
      <w:r>
        <w:rPr>
          <w:rFonts w:ascii="Calibri" w:hAnsi="Calibri"/>
          <w:b/>
          <w:color w:val="525866"/>
          <w:sz w:val="22"/>
        </w:rPr>
        <w:t>Biosimilars as a growth platform:</w:t>
      </w:r>
      <w:r>
        <w:rPr>
          <w:rFonts w:ascii="Calibri" w:hAnsi="Calibri"/>
          <w:color w:val="525866"/>
          <w:sz w:val="22"/>
        </w:rPr>
        <w:t xml:space="preserve"> Teva highlighted biosimilars as “becoming a growth platform within generics,” with 15 products in market and a target to double the portfolio. Teva is “on track to exceeding $800M by 2027” in biosimilar revenue. In the US, “two out of five products are ranked #1.” </w:t>
      </w:r>
      <w:r>
        <w:rPr>
          <w:rFonts w:ascii="Calibri" w:hAnsi="Calibri"/>
          <w:b/>
          <w:color w:val="525866"/>
          <w:sz w:val="22"/>
        </w:rPr>
        <w:t>VTRS read-through:</w:t>
      </w:r>
      <w:r>
        <w:rPr>
          <w:rFonts w:ascii="Calibri" w:hAnsi="Calibri"/>
          <w:color w:val="525866"/>
          <w:sz w:val="22"/>
        </w:rPr>
        <w:t xml:space="preserve"> Validates the biosimilar market opportunity but signals intensifying competition. VTRS’s biosimilar portfolio (Semglee, Ogivri, Pegfilgrastim, others) competes in the same space; Teva’s aggressive expansion could pressure pricing and market share.</w:t>
      </w:r>
    </w:p>
    <w:p>
      <w:pPr>
        <w:pStyle w:val="ListBullet"/>
        <w:ind w:left="360" w:hanging="360"/>
      </w:pPr>
      <w:r>
        <w:rPr>
          <w:rFonts w:ascii="Calibri" w:hAnsi="Calibri"/>
          <w:b/>
          <w:color w:val="525866"/>
          <w:sz w:val="22"/>
        </w:rPr>
        <w:t>IRA implementation impact on Q4 2026:</w:t>
      </w:r>
      <w:r>
        <w:rPr>
          <w:rFonts w:ascii="Calibri" w:hAnsi="Calibri"/>
          <w:color w:val="525866"/>
          <w:sz w:val="22"/>
        </w:rPr>
        <w:t xml:space="preserve"> Teva flagged that Austedo revenue in Q4 2026 is expected to be “down year over year due to expected changes in purchasing patterns and pricing environments ahead of IRA implementation in January.” Elevated channel inventory normalization expected over the next two quarters. </w:t>
      </w:r>
      <w:r>
        <w:rPr>
          <w:rFonts w:ascii="Calibri" w:hAnsi="Calibri"/>
          <w:b/>
          <w:color w:val="525866"/>
          <w:sz w:val="22"/>
        </w:rPr>
        <w:t>VTRS read-through:</w:t>
      </w:r>
      <w:r>
        <w:rPr>
          <w:rFonts w:ascii="Calibri" w:hAnsi="Calibri"/>
          <w:color w:val="525866"/>
          <w:sz w:val="22"/>
        </w:rPr>
        <w:t xml:space="preserve"> While Austedo is a branded CNS product, the IRA-driven purchasing pattern shift is a broad industry dynamic. VTRS’s established brands (EpiPen, Lipitor, Norvasc) may face similar pre-IRA inventory destocking dynamics in H2 2026.</w:t>
      </w:r>
    </w:p>
    <w:p>
      <w:pPr>
        <w:pStyle w:val="ListBullet"/>
        <w:ind w:left="360" w:hanging="360"/>
      </w:pPr>
      <w:r>
        <w:rPr>
          <w:rFonts w:ascii="Calibri" w:hAnsi="Calibri"/>
          <w:b/>
          <w:color w:val="525866"/>
          <w:sz w:val="22"/>
        </w:rPr>
        <w:t>Tariff risk acknowledged:</w:t>
      </w:r>
      <w:r>
        <w:rPr>
          <w:rFonts w:ascii="Calibri" w:hAnsi="Calibri"/>
          <w:color w:val="525866"/>
          <w:sz w:val="22"/>
        </w:rPr>
        <w:t xml:space="preserve"> CEO Richard Francis noted Teva is “digesting” the Trump administration’s proposed generic drug tariffs, pointing to Teva’s six US manufacturing facilities as a partial buffer. </w:t>
      </w:r>
      <w:r>
        <w:rPr>
          <w:rFonts w:ascii="Calibri" w:hAnsi="Calibri"/>
          <w:b/>
          <w:color w:val="525866"/>
          <w:sz w:val="22"/>
        </w:rPr>
        <w:t>VTRS read-through:</w:t>
      </w:r>
      <w:r>
        <w:rPr>
          <w:rFonts w:ascii="Calibri" w:hAnsi="Calibri"/>
          <w:color w:val="525866"/>
          <w:sz w:val="22"/>
        </w:rPr>
        <w:t xml:space="preserve"> VTRS has not yet commented on tariff exposure. With significant India-based manufacturing, VTRS could face higher cost headwinds than Teva if tariffs are implemented. Watch for Q2 call commentary.</w:t>
      </w:r>
    </w:p>
    <w:p>
      <w:pPr>
        <w:pStyle w:val="ListBullet"/>
        <w:ind w:left="360" w:hanging="360"/>
      </w:pPr>
      <w:r>
        <w:rPr>
          <w:rFonts w:ascii="Calibri" w:hAnsi="Calibri"/>
          <w:b/>
          <w:color w:val="525866"/>
          <w:sz w:val="22"/>
        </w:rPr>
        <w:t>Margin trajectory:</w:t>
      </w:r>
      <w:r>
        <w:rPr>
          <w:rFonts w:ascii="Calibri" w:hAnsi="Calibri"/>
          <w:color w:val="525866"/>
          <w:sz w:val="22"/>
        </w:rPr>
        <w:t xml:space="preserve"> Teva is “on track to achieve 30% operating margin by 2027,” with gross margins expected to expand from 54% to “more than 60% by 2030+” driven by the innovative portfolio mix shift. Operating expenses at “~28% of revenue” for 2026, with sequential improvement expected in Q4 from OpEx savings. </w:t>
      </w:r>
      <w:r>
        <w:rPr>
          <w:rFonts w:ascii="Calibri" w:hAnsi="Calibri"/>
          <w:b/>
          <w:color w:val="525866"/>
          <w:sz w:val="22"/>
        </w:rPr>
        <w:t>VTRS read-through:</w:t>
      </w:r>
      <w:r>
        <w:rPr>
          <w:rFonts w:ascii="Calibri" w:hAnsi="Calibri"/>
          <w:color w:val="525866"/>
          <w:sz w:val="22"/>
        </w:rPr>
        <w:t xml:space="preserve"> Directionally consistent with VTRS’s own margin expansion story; Q1 2026 adj. gross margin of 56% and 10% operational EBITDA growth vs. 3% revenue growth demonstrates similar operating leverage dynamics.</w:t>
      </w:r>
    </w:p>
    <w:p>
      <w:pPr>
        <w:pStyle w:val="Heading3"/>
      </w:pPr>
      <w:r>
        <w:rPr>
          <w:rFonts w:ascii="Calibri" w:hAnsi="Calibri"/>
          <w:b/>
          <w:color w:val="3B4259"/>
          <w:sz w:val="24"/>
        </w:rPr>
        <w:t>Amneal Pharmaceuticals (AMRX) — Q2 2026 Earnings Call (July 30, 2026) &amp; Goldman Sachs Healthcare Conference (June 9, 2026)</w:t>
      </w:r>
    </w:p>
    <w:p>
      <w:r>
        <w:rPr>
          <w:rFonts w:ascii="Calibri" w:hAnsi="Calibri"/>
          <w:b/>
          <w:color w:val="525866"/>
          <w:sz w:val="22"/>
        </w:rPr>
        <w:t>Relevance to VTRS: Moderate-High</w:t>
      </w:r>
      <w:r>
        <w:rPr>
          <w:rFonts w:ascii="Calibri" w:hAnsi="Calibri"/>
          <w:color w:val="525866"/>
          <w:sz w:val="22"/>
        </w:rPr>
        <w:t xml:space="preserve"> — Amneal is a direct competitor in US generics, complex generics, and biosimilars.</w:t>
      </w:r>
    </w:p>
    <w:p>
      <w:pPr>
        <w:pStyle w:val="ListBullet"/>
        <w:ind w:left="360" w:hanging="360"/>
      </w:pPr>
      <w:r>
        <w:rPr>
          <w:rFonts w:ascii="Calibri" w:hAnsi="Calibri"/>
          <w:b/>
          <w:color w:val="525866"/>
          <w:sz w:val="22"/>
        </w:rPr>
        <w:t>Guidance raised for the second time in 2026:</w:t>
      </w:r>
      <w:r>
        <w:rPr>
          <w:rFonts w:ascii="Calibri" w:hAnsi="Calibri"/>
          <w:color w:val="525866"/>
          <w:sz w:val="22"/>
        </w:rPr>
        <w:t xml:space="preserve"> Amneal raised FY 2026 revenue guidance by $50M to $3.1–3.2B and adj. EBITDA by $10M to $750–780M, citing “high single-digit growth expected in both specialty and affordable medicines.” This is Amneal’s seventh consecutive year of top- and bottom-line growth. </w:t>
      </w:r>
      <w:r>
        <w:rPr>
          <w:rFonts w:ascii="Calibri" w:hAnsi="Calibri"/>
          <w:b/>
          <w:color w:val="525866"/>
          <w:sz w:val="22"/>
        </w:rPr>
        <w:t>VTRS read-through:</w:t>
      </w:r>
      <w:r>
        <w:rPr>
          <w:rFonts w:ascii="Calibri" w:hAnsi="Calibri"/>
          <w:color w:val="525866"/>
          <w:sz w:val="22"/>
        </w:rPr>
        <w:t xml:space="preserve"> Amneal’s raised guidance signals a healthy underlying generic market demand environment, which is broadly supportive for VTRS’s North America generics segment.</w:t>
      </w:r>
    </w:p>
    <w:p>
      <w:pPr>
        <w:pStyle w:val="ListBullet"/>
        <w:ind w:left="360" w:hanging="360"/>
      </w:pPr>
      <w:r>
        <w:rPr>
          <w:rFonts w:ascii="Calibri" w:hAnsi="Calibri"/>
          <w:b/>
          <w:color w:val="525866"/>
          <w:sz w:val="22"/>
        </w:rPr>
        <w:t>Transdermal patch demand surge:</w:t>
      </w:r>
      <w:r>
        <w:rPr>
          <w:rFonts w:ascii="Calibri" w:hAnsi="Calibri"/>
          <w:color w:val="525866"/>
          <w:sz w:val="22"/>
        </w:rPr>
        <w:t xml:space="preserve"> Amneal highlighted that “demand for transdermal patches increased following revised FDA guidance late last year” and is tripling/quadrupling capacity, with increased supply from August 2026. The percentage of women aged 45–65 taking estrogen patches is forecast to rise from 5% to 30–40%. </w:t>
      </w:r>
      <w:r>
        <w:rPr>
          <w:rFonts w:ascii="Calibri" w:hAnsi="Calibri"/>
          <w:b/>
          <w:color w:val="525866"/>
          <w:sz w:val="22"/>
        </w:rPr>
        <w:t>VTRS read-through:</w:t>
      </w:r>
      <w:r>
        <w:rPr>
          <w:rFonts w:ascii="Calibri" w:hAnsi="Calibri"/>
          <w:color w:val="525866"/>
          <w:sz w:val="22"/>
        </w:rPr>
        <w:t xml:space="preserve"> Highly relevant — VTRS’s XULANE LO (low-dose estrogen patch, PDUFA July 30) and its second contraceptive patch product are positioned to capture this same demand surge. Amneal’s capacity expansion signals strong market demand but also competitive supply build.</w:t>
      </w:r>
    </w:p>
    <w:p>
      <w:pPr>
        <w:pStyle w:val="ListBullet"/>
        <w:ind w:left="360" w:hanging="360"/>
      </w:pPr>
      <w:r>
        <w:rPr>
          <w:rFonts w:ascii="Calibri" w:hAnsi="Calibri"/>
          <w:b/>
          <w:color w:val="525866"/>
          <w:sz w:val="22"/>
        </w:rPr>
        <w:t>Biosimilar market entering a “major growth cycle”:</w:t>
      </w:r>
      <w:r>
        <w:rPr>
          <w:rFonts w:ascii="Calibri" w:hAnsi="Calibri"/>
          <w:color w:val="525866"/>
          <w:sz w:val="22"/>
        </w:rPr>
        <w:t xml:space="preserve"> Amneal described the US biosimilar market as entering a “major growth cycle” driven by 118 biologics losing exclusivity over the next decade, streamlined regulatory pathways, and accelerating private-label adoption. Amneal’s Akashi acquisition expands drug substance capacity from ~2,600L to ~7,500L by 2028. </w:t>
      </w:r>
      <w:r>
        <w:rPr>
          <w:rFonts w:ascii="Calibri" w:hAnsi="Calibri"/>
          <w:b/>
          <w:color w:val="525866"/>
          <w:sz w:val="22"/>
        </w:rPr>
        <w:t>VTRS read-through:</w:t>
      </w:r>
      <w:r>
        <w:rPr>
          <w:rFonts w:ascii="Calibri" w:hAnsi="Calibri"/>
          <w:color w:val="525866"/>
          <w:sz w:val="22"/>
        </w:rPr>
        <w:t xml:space="preserve"> Validates the long-term biosimilar opportunity for VTRS but signals a more competitive landscape. Amneal’s focus on “niche” biosimilars with &lt;4 competitors mirrors VTRS’s complex generics strategy.</w:t>
      </w:r>
    </w:p>
    <w:p>
      <w:pPr>
        <w:pStyle w:val="ListBullet"/>
        <w:ind w:left="360" w:hanging="360"/>
      </w:pPr>
      <w:r>
        <w:rPr>
          <w:rFonts w:ascii="Calibri" w:hAnsi="Calibri"/>
          <w:b/>
          <w:color w:val="525866"/>
          <w:sz w:val="22"/>
        </w:rPr>
        <w:t>India facility flood impact ($20M headwind):</w:t>
      </w:r>
      <w:r>
        <w:rPr>
          <w:rFonts w:ascii="Calibri" w:hAnsi="Calibri"/>
          <w:color w:val="525866"/>
          <w:sz w:val="22"/>
        </w:rPr>
        <w:t xml:space="preserve"> Amneal disclosed a “severe rainfall and flooding” event at its Gujarat, India facility one week before the July 30 call, estimating a $20M negative revenue impact included in guidance. Operations expected to resume within weeks. </w:t>
      </w:r>
      <w:r>
        <w:rPr>
          <w:rFonts w:ascii="Calibri" w:hAnsi="Calibri"/>
          <w:b/>
          <w:color w:val="525866"/>
          <w:sz w:val="22"/>
        </w:rPr>
        <w:t>VTRS read-through:</w:t>
      </w:r>
      <w:r>
        <w:rPr>
          <w:rFonts w:ascii="Calibri" w:hAnsi="Calibri"/>
          <w:color w:val="525866"/>
          <w:sz w:val="22"/>
        </w:rPr>
        <w:t xml:space="preserve"> VTRS also has significant India manufacturing operations. No similar event has been disclosed by VTRS, but the incident highlights supply chain concentration risk that investors may probe on the Q2 call.</w:t>
      </w:r>
    </w:p>
    <w:p>
      <w:pPr>
        <w:pStyle w:val="ListBullet"/>
        <w:ind w:left="360" w:hanging="360"/>
      </w:pPr>
      <w:r>
        <w:rPr>
          <w:rFonts w:ascii="Calibri" w:hAnsi="Calibri"/>
          <w:b/>
          <w:color w:val="525866"/>
          <w:sz w:val="22"/>
        </w:rPr>
        <w:t>GLP-1 partnership with Pfizer progressing:</w:t>
      </w:r>
      <w:r>
        <w:rPr>
          <w:rFonts w:ascii="Calibri" w:hAnsi="Calibri"/>
          <w:color w:val="525866"/>
          <w:sz w:val="22"/>
        </w:rPr>
        <w:t xml:space="preserve"> Amneal’s GLP-1 manufacturing partnership with Pfizer/Metsera is “moving extremely well,” with facilities expected operational in 2029–30 and supply starting in 2030. </w:t>
      </w:r>
      <w:r>
        <w:rPr>
          <w:rFonts w:ascii="Calibri" w:hAnsi="Calibri"/>
          <w:b/>
          <w:color w:val="525866"/>
          <w:sz w:val="22"/>
        </w:rPr>
        <w:t>VTRS read-through:</w:t>
      </w:r>
      <w:r>
        <w:rPr>
          <w:rFonts w:ascii="Calibri" w:hAnsi="Calibri"/>
          <w:color w:val="525866"/>
          <w:sz w:val="22"/>
        </w:rPr>
        <w:t xml:space="preserve"> VTRS has articulated its own GLP-1 generic strategy (US-focused, autoinjector differentiation, 2030+ timeframe). Amneal’s progress validates the long-term opportunity but also confirms VTRS will face a well-capitalized competitor in this space.</w:t>
      </w:r>
    </w:p>
    <w:p>
      <w:pPr>
        <w:pStyle w:val="ListBullet"/>
        <w:ind w:left="360" w:hanging="360"/>
      </w:pPr>
      <w:r>
        <w:rPr>
          <w:rFonts w:ascii="Calibri" w:hAnsi="Calibri"/>
          <w:b/>
          <w:color w:val="525866"/>
          <w:sz w:val="22"/>
        </w:rPr>
        <w:t>Tariff commentary:</w:t>
      </w:r>
      <w:r>
        <w:rPr>
          <w:rFonts w:ascii="Calibri" w:hAnsi="Calibri"/>
          <w:color w:val="525866"/>
          <w:sz w:val="22"/>
        </w:rPr>
        <w:t xml:space="preserve"> Amneal emphasized its “vast manufacturing network in the United States” and ongoing US capacity expansion as a buffer against potential tariffs, while noting it “looks forward to more information” from the administration. </w:t>
      </w:r>
      <w:r>
        <w:rPr>
          <w:rFonts w:ascii="Calibri" w:hAnsi="Calibri"/>
          <w:b/>
          <w:color w:val="525866"/>
          <w:sz w:val="22"/>
        </w:rPr>
        <w:t>VTRS read-through:</w:t>
      </w:r>
      <w:r>
        <w:rPr>
          <w:rFonts w:ascii="Calibri" w:hAnsi="Calibri"/>
          <w:color w:val="525866"/>
          <w:sz w:val="22"/>
        </w:rPr>
        <w:t xml:space="preserve"> VTRS’s more globally distributed manufacturing base (India, Europe, US) may leave it more exposed than Amneal to tariff risk. This is a key question for the Q2 call.</w:t>
      </w:r>
    </w:p>
    <w:p>
      <w:pPr>
        <w:pStyle w:val="Heading3"/>
      </w:pPr>
      <w:r>
        <w:rPr>
          <w:rFonts w:ascii="Calibri" w:hAnsi="Calibri"/>
          <w:b/>
          <w:color w:val="3B4259"/>
          <w:sz w:val="24"/>
        </w:rPr>
        <w:t>Dr. Reddy’s Laboratories (RDY) — Q1 FY2027 Earnings Call (July 22, 2026)</w:t>
      </w:r>
    </w:p>
    <w:p>
      <w:r>
        <w:rPr>
          <w:rFonts w:ascii="Calibri" w:hAnsi="Calibri"/>
          <w:b/>
          <w:color w:val="525866"/>
          <w:sz w:val="22"/>
        </w:rPr>
        <w:t>Relevance to VTRS: Moderate</w:t>
      </w:r>
      <w:r>
        <w:rPr>
          <w:rFonts w:ascii="Calibri" w:hAnsi="Calibri"/>
          <w:color w:val="525866"/>
          <w:sz w:val="22"/>
        </w:rPr>
        <w:t xml:space="preserve"> — RDY is a global generics peer with significant US and emerging markets exposure.</w:t>
      </w:r>
    </w:p>
    <w:p>
      <w:pPr>
        <w:pStyle w:val="ListBullet"/>
        <w:ind w:left="360" w:hanging="360"/>
      </w:pPr>
      <w:r>
        <w:rPr>
          <w:rFonts w:ascii="Calibri" w:hAnsi="Calibri"/>
          <w:b/>
          <w:color w:val="525866"/>
          <w:sz w:val="22"/>
        </w:rPr>
        <w:t>Double-digit US generic growth maintained:</w:t>
      </w:r>
      <w:r>
        <w:rPr>
          <w:rFonts w:ascii="Calibri" w:hAnsi="Calibri"/>
          <w:color w:val="525866"/>
          <w:sz w:val="22"/>
        </w:rPr>
        <w:t xml:space="preserve"> CEO Erez Israeli reiterated “double-digit growth for the US market” throughout the year (excluding semaglutide), characterizing the US generic market as a “low single-digit” growth market where new product launches compensate for price erosion. Six new complex generics launched in the quarter (Bosutinib, Nintedanib, others). </w:t>
      </w:r>
      <w:r>
        <w:rPr>
          <w:rFonts w:ascii="Calibri" w:hAnsi="Calibri"/>
          <w:b/>
          <w:color w:val="525866"/>
          <w:sz w:val="22"/>
        </w:rPr>
        <w:t>VTRS read-through:</w:t>
      </w:r>
      <w:r>
        <w:rPr>
          <w:rFonts w:ascii="Calibri" w:hAnsi="Calibri"/>
          <w:color w:val="525866"/>
          <w:sz w:val="22"/>
        </w:rPr>
        <w:t xml:space="preserve"> Supportive for VTRS’s North America generics segment; confirms that well-executed complex generic launches can drive above-market growth even in a price-erosive environment.</w:t>
      </w:r>
    </w:p>
    <w:p>
      <w:pPr>
        <w:pStyle w:val="ListBullet"/>
        <w:ind w:left="360" w:hanging="360"/>
      </w:pPr>
      <w:r>
        <w:rPr>
          <w:rFonts w:ascii="Calibri" w:hAnsi="Calibri"/>
          <w:b/>
          <w:color w:val="525866"/>
          <w:sz w:val="22"/>
        </w:rPr>
        <w:t>Semaglutide supply disruption — API challenges:</w:t>
      </w:r>
      <w:r>
        <w:rPr>
          <w:rFonts w:ascii="Calibri" w:hAnsi="Calibri"/>
          <w:color w:val="525866"/>
          <w:sz w:val="22"/>
        </w:rPr>
        <w:t xml:space="preserve"> RDY disclosed API-related supply challenges for its generic semaglutide, planning to resume commercial supplies by November 2026 with 6–7 million pens available between November and March. Demand is “still very high” and backed by orders. Generic market share in Canada expected to start at 60% and grow. </w:t>
      </w:r>
      <w:r>
        <w:rPr>
          <w:rFonts w:ascii="Calibri" w:hAnsi="Calibri"/>
          <w:b/>
          <w:color w:val="525866"/>
          <w:sz w:val="22"/>
        </w:rPr>
        <w:t>VTRS read-through:</w:t>
      </w:r>
      <w:r>
        <w:rPr>
          <w:rFonts w:ascii="Calibri" w:hAnsi="Calibri"/>
          <w:color w:val="525866"/>
          <w:sz w:val="22"/>
        </w:rPr>
        <w:t xml:space="preserve"> VTRS has flagged GLP-1 generics as a 2030+ opportunity. RDY’s supply disruption illustrates the manufacturing complexity of this category and the importance of VTRS’s autoinjector differentiation strategy.</w:t>
      </w:r>
    </w:p>
    <w:p>
      <w:pPr>
        <w:pStyle w:val="ListBullet"/>
        <w:ind w:left="360" w:hanging="360"/>
      </w:pPr>
      <w:r>
        <w:rPr>
          <w:rFonts w:ascii="Calibri" w:hAnsi="Calibri"/>
          <w:b/>
          <w:color w:val="525866"/>
          <w:sz w:val="22"/>
        </w:rPr>
        <w:t>Tariff risk: “No reason to be concerned”:</w:t>
      </w:r>
      <w:r>
        <w:rPr>
          <w:rFonts w:ascii="Calibri" w:hAnsi="Calibri"/>
          <w:color w:val="525866"/>
          <w:sz w:val="22"/>
        </w:rPr>
        <w:t xml:space="preserve"> Israeli stated he does not “see any reason to be concerned” about proposed US tariffs on generics, characterizing the announcement as “an opening for discussion and dialogue.” CFO noted ~25–30% of revenues are manufactured by US CMOs. </w:t>
      </w:r>
      <w:r>
        <w:rPr>
          <w:rFonts w:ascii="Calibri" w:hAnsi="Calibri"/>
          <w:b/>
          <w:color w:val="525866"/>
          <w:sz w:val="22"/>
        </w:rPr>
        <w:t>VTRS read-through:</w:t>
      </w:r>
      <w:r>
        <w:rPr>
          <w:rFonts w:ascii="Calibri" w:hAnsi="Calibri"/>
          <w:color w:val="525866"/>
          <w:sz w:val="22"/>
        </w:rPr>
        <w:t xml:space="preserve"> RDY’s relatively sanguine view on tariffs (with partial US manufacturing buffer) contrasts with the uncertainty VTRS may face. VTRS’s management has not yet commented; the Q2 call will be the first opportunity.</w:t>
      </w:r>
    </w:p>
    <w:p>
      <w:pPr>
        <w:pStyle w:val="ListBullet"/>
        <w:ind w:left="360" w:hanging="360"/>
      </w:pPr>
      <w:r>
        <w:rPr>
          <w:rFonts w:ascii="Calibri" w:hAnsi="Calibri"/>
          <w:b/>
          <w:color w:val="525866"/>
          <w:sz w:val="22"/>
        </w:rPr>
        <w:t>EBITDA margin guidance ~20% even without semaglutide:</w:t>
      </w:r>
      <w:r>
        <w:rPr>
          <w:rFonts w:ascii="Calibri" w:hAnsi="Calibri"/>
          <w:color w:val="525866"/>
          <w:sz w:val="22"/>
        </w:rPr>
        <w:t xml:space="preserve"> RDY guided for EBITDA margins “in the neighborhood of 20%” in the next quarter even without semaglutide, with margins expected higher upon semaglutide resumption. Plans to grow sales at double-digit rates while keeping associated costs to low-single-digit growth (10–12% productivity gap). </w:t>
      </w:r>
      <w:r>
        <w:rPr>
          <w:rFonts w:ascii="Calibri" w:hAnsi="Calibri"/>
          <w:b/>
          <w:color w:val="525866"/>
          <w:sz w:val="22"/>
        </w:rPr>
        <w:t>VTRS read-through:</w:t>
      </w:r>
      <w:r>
        <w:rPr>
          <w:rFonts w:ascii="Calibri" w:hAnsi="Calibri"/>
          <w:color w:val="525866"/>
          <w:sz w:val="22"/>
        </w:rPr>
        <w:t xml:space="preserve"> Demonstrates that disciplined cost management can sustain margins even with product mix headwinds — consistent with VTRS’s own $120M net savings program and operating leverage narrative.</w:t>
      </w:r>
    </w:p>
    <w:p>
      <w:pPr>
        <w:pStyle w:val="ListBullet"/>
        <w:ind w:left="360" w:hanging="360"/>
      </w:pPr>
      <w:r>
        <w:rPr>
          <w:rFonts w:ascii="Calibri" w:hAnsi="Calibri"/>
          <w:b/>
          <w:color w:val="525866"/>
          <w:sz w:val="22"/>
        </w:rPr>
        <w:t>Middle East conflict: ~1% cost headwind (solvents and freight):</w:t>
      </w:r>
      <w:r>
        <w:rPr>
          <w:rFonts w:ascii="Calibri" w:hAnsi="Calibri"/>
          <w:color w:val="525866"/>
          <w:sz w:val="22"/>
        </w:rPr>
        <w:t xml:space="preserve"> RDY quantified the Middle East conflict impact on costs at “close to around 1%” and expects this level to persist “at least up to December.” </w:t>
      </w:r>
      <w:r>
        <w:rPr>
          <w:rFonts w:ascii="Calibri" w:hAnsi="Calibri"/>
          <w:b/>
          <w:color w:val="525866"/>
          <w:sz w:val="22"/>
        </w:rPr>
        <w:t>VTRS read-through:</w:t>
      </w:r>
      <w:r>
        <w:rPr>
          <w:rFonts w:ascii="Calibri" w:hAnsi="Calibri"/>
          <w:color w:val="525866"/>
          <w:sz w:val="22"/>
        </w:rPr>
        <w:t xml:space="preserve"> A modest but real cost headwind for global pharma manufacturers with India-based supply chains. VTRS may face similar freight and solvent cost pressures in Q2 and H2 2026.</w:t>
      </w:r>
    </w:p>
    <w:p>
      <w:pPr>
        <w:pStyle w:val="Heading3"/>
      </w:pPr>
      <w:r>
        <w:rPr>
          <w:rFonts w:ascii="Calibri" w:hAnsi="Calibri"/>
          <w:b/>
          <w:color w:val="3B4259"/>
          <w:sz w:val="24"/>
        </w:rPr>
        <w:t>Alkermes (ALKS) — Q2 2026 Earnings Call (July 28, 2026)</w:t>
      </w:r>
    </w:p>
    <w:p>
      <w:r>
        <w:rPr>
          <w:rFonts w:ascii="Calibri" w:hAnsi="Calibri"/>
          <w:b/>
          <w:color w:val="525866"/>
          <w:sz w:val="22"/>
        </w:rPr>
        <w:t>Relevance to VTRS: Low-Moderate</w:t>
      </w:r>
      <w:r>
        <w:rPr>
          <w:rFonts w:ascii="Calibri" w:hAnsi="Calibri"/>
          <w:color w:val="525866"/>
          <w:sz w:val="22"/>
        </w:rPr>
        <w:t xml:space="preserve"> — ALKS is a specialty pharma peer; read-through is primarily on policy/regulatory dynamics.</w:t>
      </w:r>
    </w:p>
    <w:p>
      <w:pPr>
        <w:pStyle w:val="ListBullet"/>
        <w:ind w:left="360" w:hanging="360"/>
      </w:pPr>
      <w:r>
        <w:rPr>
          <w:rFonts w:ascii="Calibri" w:hAnsi="Calibri"/>
          <w:b/>
          <w:color w:val="525866"/>
          <w:sz w:val="22"/>
        </w:rPr>
        <w:t>Foreign reference pricing (Vanguard/Globe) — industry-wide concern:</w:t>
      </w:r>
      <w:r>
        <w:rPr>
          <w:rFonts w:ascii="Calibri" w:hAnsi="Calibri"/>
          <w:color w:val="525866"/>
          <w:sz w:val="22"/>
        </w:rPr>
        <w:t xml:space="preserve"> CEO Richard Pops flagged two CMS demonstration projects (Vanguard and Globe) currently before the OMB that would build foreign reference pricing into Medicare/Medicaid. Pops characterized them as “probably directly in violation of existing statute” and anticipated “a fair amount of litigation” if finalized. He noted the particular impact on “midsize companies” that depend on 1–2 products. </w:t>
      </w:r>
      <w:r>
        <w:rPr>
          <w:rFonts w:ascii="Calibri" w:hAnsi="Calibri"/>
          <w:b/>
          <w:color w:val="525866"/>
          <w:sz w:val="22"/>
        </w:rPr>
        <w:t>VTRS read-through:</w:t>
      </w:r>
      <w:r>
        <w:rPr>
          <w:rFonts w:ascii="Calibri" w:hAnsi="Calibri"/>
          <w:color w:val="525866"/>
          <w:sz w:val="22"/>
        </w:rPr>
        <w:t xml:space="preserve"> VTRS operates in numerous international markets and sells many products at lower prices outside the US. If foreign reference pricing is implemented in Medicare/Medicaid, it could pressure net pricing on VTRS’s established brands (EpiPen, Lipitor, Norvasc, Viagra). This is a longer-term policy risk but worth monitoring.</w:t>
      </w:r>
    </w:p>
    <w:p>
      <w:pPr>
        <w:pStyle w:val="ListBullet"/>
        <w:ind w:left="360" w:hanging="360"/>
      </w:pPr>
      <w:r>
        <w:rPr>
          <w:rFonts w:ascii="Calibri" w:hAnsi="Calibri"/>
          <w:b/>
          <w:color w:val="525866"/>
          <w:sz w:val="22"/>
        </w:rPr>
        <w:t>Generic barriers to entry remain meaningful:</w:t>
      </w:r>
      <w:r>
        <w:rPr>
          <w:rFonts w:ascii="Calibri" w:hAnsi="Calibri"/>
          <w:color w:val="525866"/>
          <w:sz w:val="22"/>
        </w:rPr>
        <w:t xml:space="preserve"> ALKS confirmed the termination of its authorized generic agreement with Amneal for Vivitrol, stating “conclusively that there will be no authorized generic for Vivitrol in 2027.” Manufacturing complexity (specialized sterile facilities, formulation expertise) cited as the key barrier, with only one approved ANDA. </w:t>
      </w:r>
      <w:r>
        <w:rPr>
          <w:rFonts w:ascii="Calibri" w:hAnsi="Calibri"/>
          <w:b/>
          <w:color w:val="525866"/>
          <w:sz w:val="22"/>
        </w:rPr>
        <w:t>VTRS read-through:</w:t>
      </w:r>
      <w:r>
        <w:rPr>
          <w:rFonts w:ascii="Calibri" w:hAnsi="Calibri"/>
          <w:color w:val="525866"/>
          <w:sz w:val="22"/>
        </w:rPr>
        <w:t xml:space="preserve"> Illustrates that complex manufacturing requirements can extend effective exclusivity well beyond patent expiry — relevant for VTRS’s own complex generics pipeline (iron ferric carboxymaltose, rotigotine patch) and its established brands’ competitive moats.</w:t>
      </w:r>
    </w:p>
    <w:p>
      <w:pPr>
        <w:pStyle w:val="ListBullet"/>
        <w:ind w:left="360" w:hanging="360"/>
      </w:pPr>
      <w:r>
        <w:rPr>
          <w:rFonts w:ascii="Calibri" w:hAnsi="Calibri"/>
          <w:b/>
          <w:color w:val="525866"/>
          <w:sz w:val="22"/>
        </w:rPr>
        <w:t>Gross-to-net expansion as access trade-off:</w:t>
      </w:r>
      <w:r>
        <w:rPr>
          <w:rFonts w:ascii="Calibri" w:hAnsi="Calibri"/>
          <w:color w:val="525866"/>
          <w:sz w:val="22"/>
        </w:rPr>
        <w:t xml:space="preserve"> ALKS expanded Lybalvi formulary access to &gt;80% of insured lives through new Part D contracting, but guided for gross-to-net adjustments in the “high 30s” for FY 2026, with GTN expected to expand in H2. Management framed this as a “short-term impact” supporting long-term volume growth. </w:t>
      </w:r>
      <w:r>
        <w:rPr>
          <w:rFonts w:ascii="Calibri" w:hAnsi="Calibri"/>
          <w:b/>
          <w:color w:val="525866"/>
          <w:sz w:val="22"/>
        </w:rPr>
        <w:t>VTRS read-through:</w:t>
      </w:r>
      <w:r>
        <w:rPr>
          <w:rFonts w:ascii="Calibri" w:hAnsi="Calibri"/>
          <w:color w:val="525866"/>
          <w:sz w:val="22"/>
        </w:rPr>
        <w:t xml:space="preserve"> Relevant for VTRS’s fast-acting meloxicam commercial launch strategy — management will need to navigate similar access/GTN trade-offs when building formulary coverage for a new branded product.</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Direction for VTRS</w:t>
            </w:r>
          </w:p>
        </w:tc>
        <w:tc>
          <w:tcPr>
            <w:tcW w:type="dxa" w:w="2160"/>
            <w:shd w:val="clear" w:color="auto" w:fill="3B4259"/>
          </w:tcPr>
          <w:p>
            <w:r>
              <w:rPr>
                <w:rFonts w:ascii="Calibri" w:hAnsi="Calibri"/>
                <w:b/>
                <w:color w:val="FFFFFF"/>
                <w:sz w:val="22"/>
              </w:rPr>
              <w:t>Source</w:t>
            </w:r>
          </w:p>
        </w:tc>
      </w:tr>
      <w:tr>
        <w:tc>
          <w:tcPr>
            <w:tcW w:type="dxa" w:w="2160"/>
          </w:tcPr>
          <w:p>
            <w:r>
              <w:rPr>
                <w:rFonts w:ascii="Calibri" w:hAnsi="Calibri"/>
                <w:sz w:val="22"/>
              </w:rPr>
              <w:t>US Generic Market Growth</w:t>
            </w:r>
          </w:p>
        </w:tc>
        <w:tc>
          <w:tcPr>
            <w:tcW w:type="dxa" w:w="2160"/>
          </w:tcPr>
          <w:p>
            <w:r>
              <w:rPr>
                <w:rFonts w:ascii="Calibri" w:hAnsi="Calibri"/>
                <w:sz w:val="22"/>
              </w:rPr>
              <w:t>RDY: double-digit US growth; TEVA: flat to down low-single-digit generics; AMRX: high-single-digit affordable medicines growth</w:t>
            </w:r>
          </w:p>
        </w:tc>
        <w:tc>
          <w:tcPr>
            <w:tcW w:type="dxa" w:w="2160"/>
          </w:tcPr>
          <w:p>
            <w:r>
              <w:rPr>
                <w:rFonts w:ascii="Calibri" w:hAnsi="Calibri"/>
                <w:b/>
                <w:sz w:val="22"/>
              </w:rPr>
              <w:t>Mixed</w:t>
            </w:r>
            <w:r>
              <w:rPr>
                <w:rFonts w:ascii="Calibri" w:hAnsi="Calibri"/>
                <w:sz w:val="22"/>
              </w:rPr>
              <w:t xml:space="preserve"> — complex generics outperform; commodity generics under pressure</w:t>
            </w:r>
          </w:p>
        </w:tc>
        <w:tc>
          <w:tcPr>
            <w:tcW w:type="dxa" w:w="2160"/>
          </w:tcPr>
          <w:p>
            <w:r>
              <w:rPr>
                <w:rFonts w:ascii="Calibri" w:hAnsi="Calibri"/>
                <w:sz w:val="22"/>
              </w:rPr>
              <w:t>RDY (Jul 22), TEVA (Jul 29), AMRX (Jul 30)</w:t>
            </w:r>
          </w:p>
        </w:tc>
      </w:tr>
      <w:tr>
        <w:tc>
          <w:tcPr>
            <w:tcW w:type="dxa" w:w="2160"/>
          </w:tcPr>
          <w:p>
            <w:r>
              <w:rPr>
                <w:rFonts w:ascii="Calibri" w:hAnsi="Calibri"/>
                <w:sz w:val="22"/>
              </w:rPr>
              <w:t>Transdermal Patch Demand</w:t>
            </w:r>
          </w:p>
        </w:tc>
        <w:tc>
          <w:tcPr>
            <w:tcW w:type="dxa" w:w="2160"/>
          </w:tcPr>
          <w:p>
            <w:r>
              <w:rPr>
                <w:rFonts w:ascii="Calibri" w:hAnsi="Calibri"/>
                <w:sz w:val="22"/>
              </w:rPr>
              <w:t>AMRX: tripling/quadrupling patch capacity; estrogen patch demand forecast to surge from 5% to 30–40% of target population</w:t>
            </w:r>
          </w:p>
        </w:tc>
        <w:tc>
          <w:tcPr>
            <w:tcW w:type="dxa" w:w="2160"/>
          </w:tcPr>
          <w:p>
            <w:r>
              <w:rPr>
                <w:rFonts w:ascii="Calibri" w:hAnsi="Calibri"/>
                <w:b/>
                <w:color w:val="30A46C"/>
                <w:sz w:val="22"/>
              </w:rPr>
              <w:t>Positive</w:t>
            </w:r>
            <w:r>
              <w:rPr>
                <w:rFonts w:ascii="Calibri" w:hAnsi="Calibri"/>
                <w:sz w:val="22"/>
              </w:rPr>
              <w:t xml:space="preserve"> — validates XULANE LO market opportunity</w:t>
            </w:r>
          </w:p>
        </w:tc>
        <w:tc>
          <w:tcPr>
            <w:tcW w:type="dxa" w:w="2160"/>
          </w:tcPr>
          <w:p>
            <w:r>
              <w:rPr>
                <w:rFonts w:ascii="Calibri" w:hAnsi="Calibri"/>
                <w:sz w:val="22"/>
              </w:rPr>
              <w:t>AMRX (Jun 9, Jul 30)</w:t>
            </w:r>
          </w:p>
        </w:tc>
      </w:tr>
      <w:tr>
        <w:tc>
          <w:tcPr>
            <w:tcW w:type="dxa" w:w="2160"/>
          </w:tcPr>
          <w:p>
            <w:r>
              <w:rPr>
                <w:rFonts w:ascii="Calibri" w:hAnsi="Calibri"/>
                <w:sz w:val="22"/>
              </w:rPr>
              <w:t>Biosimilar Market Expansion</w:t>
            </w:r>
          </w:p>
        </w:tc>
        <w:tc>
          <w:tcPr>
            <w:tcW w:type="dxa" w:w="2160"/>
          </w:tcPr>
          <w:p>
            <w:r>
              <w:rPr>
                <w:rFonts w:ascii="Calibri" w:hAnsi="Calibri"/>
                <w:sz w:val="22"/>
              </w:rPr>
              <w:t>TEVA: on track for $800M+ by 2027; AMRX: “major growth cycle” with 118 biologics losing exclusivity over next decade</w:t>
            </w:r>
          </w:p>
        </w:tc>
        <w:tc>
          <w:tcPr>
            <w:tcW w:type="dxa" w:w="2160"/>
          </w:tcPr>
          <w:p>
            <w:r>
              <w:rPr>
                <w:rFonts w:ascii="Calibri" w:hAnsi="Calibri"/>
                <w:b/>
                <w:color w:val="30A46C"/>
                <w:sz w:val="22"/>
              </w:rPr>
              <w:t>Positive</w:t>
            </w:r>
            <w:r>
              <w:rPr>
                <w:rFonts w:ascii="Calibri" w:hAnsi="Calibri"/>
                <w:sz w:val="22"/>
              </w:rPr>
              <w:t xml:space="preserve"> but competitive — validates long-term opportunity; more players entering</w:t>
            </w:r>
          </w:p>
        </w:tc>
        <w:tc>
          <w:tcPr>
            <w:tcW w:type="dxa" w:w="2160"/>
          </w:tcPr>
          <w:p>
            <w:r>
              <w:rPr>
                <w:rFonts w:ascii="Calibri" w:hAnsi="Calibri"/>
                <w:sz w:val="22"/>
              </w:rPr>
              <w:t>TEVA (Jul 29), AMRX (Jun 9, Jul 30)</w:t>
            </w:r>
          </w:p>
        </w:tc>
      </w:tr>
      <w:tr>
        <w:tc>
          <w:tcPr>
            <w:tcW w:type="dxa" w:w="2160"/>
          </w:tcPr>
          <w:p>
            <w:r>
              <w:rPr>
                <w:rFonts w:ascii="Calibri" w:hAnsi="Calibri"/>
                <w:sz w:val="22"/>
              </w:rPr>
              <w:t>Tariff / Trade Policy Risk</w:t>
            </w:r>
          </w:p>
        </w:tc>
        <w:tc>
          <w:tcPr>
            <w:tcW w:type="dxa" w:w="2160"/>
          </w:tcPr>
          <w:p>
            <w:r>
              <w:rPr>
                <w:rFonts w:ascii="Calibri" w:hAnsi="Calibri"/>
                <w:sz w:val="22"/>
              </w:rPr>
              <w:t>All peers flagged; TEVA and AMRX cite US manufacturing as buffer; RDY relatively sanguine; ALKS not directly affected</w:t>
            </w:r>
          </w:p>
        </w:tc>
        <w:tc>
          <w:tcPr>
            <w:tcW w:type="dxa" w:w="2160"/>
          </w:tcPr>
          <w:p>
            <w:r>
              <w:rPr>
                <w:rFonts w:ascii="Calibri" w:hAnsi="Calibri"/>
                <w:b/>
                <w:color w:val="E5484D"/>
                <w:sz w:val="22"/>
              </w:rPr>
              <w:t>Risk</w:t>
            </w:r>
            <w:r>
              <w:rPr>
                <w:rFonts w:ascii="Calibri" w:hAnsi="Calibri"/>
                <w:sz w:val="22"/>
              </w:rPr>
              <w:t xml:space="preserve"> — VTRS has not commented; India manufacturing exposure may be higher than peers</w:t>
            </w:r>
          </w:p>
        </w:tc>
        <w:tc>
          <w:tcPr>
            <w:tcW w:type="dxa" w:w="2160"/>
          </w:tcPr>
          <w:p>
            <w:r>
              <w:rPr>
                <w:rFonts w:ascii="Calibri" w:hAnsi="Calibri"/>
                <w:sz w:val="22"/>
              </w:rPr>
              <w:t>TEVA (Jul 29), AMRX (Jul 30), RDY (Jul 22)</w:t>
            </w:r>
          </w:p>
        </w:tc>
      </w:tr>
      <w:tr>
        <w:tc>
          <w:tcPr>
            <w:tcW w:type="dxa" w:w="2160"/>
          </w:tcPr>
          <w:p>
            <w:r>
              <w:rPr>
                <w:rFonts w:ascii="Calibri" w:hAnsi="Calibri"/>
                <w:sz w:val="22"/>
              </w:rPr>
              <w:t>IRA / Pricing Policy</w:t>
            </w:r>
          </w:p>
        </w:tc>
        <w:tc>
          <w:tcPr>
            <w:tcW w:type="dxa" w:w="2160"/>
          </w:tcPr>
          <w:p>
            <w:r>
              <w:rPr>
                <w:rFonts w:ascii="Calibri" w:hAnsi="Calibri"/>
                <w:sz w:val="22"/>
              </w:rPr>
              <w:t>TEVA: Austedo Q4 revenue expected down YoY due to IRA-driven purchasing pattern shifts; ALKS: foreign reference pricing (Vanguard/Globe) flagged as industry risk</w:t>
            </w:r>
          </w:p>
        </w:tc>
        <w:tc>
          <w:tcPr>
            <w:tcW w:type="dxa" w:w="2160"/>
          </w:tcPr>
          <w:p>
            <w:r>
              <w:rPr>
                <w:rFonts w:ascii="Calibri" w:hAnsi="Calibri"/>
                <w:b/>
                <w:color w:val="E5484D"/>
                <w:sz w:val="22"/>
              </w:rPr>
              <w:t>Risk</w:t>
            </w:r>
            <w:r>
              <w:rPr>
                <w:rFonts w:ascii="Calibri" w:hAnsi="Calibri"/>
                <w:sz w:val="22"/>
              </w:rPr>
              <w:t xml:space="preserve"> — established brands (EpiPen, Lipitor) could face pre-IRA destocking in H2 2026</w:t>
            </w:r>
          </w:p>
        </w:tc>
        <w:tc>
          <w:tcPr>
            <w:tcW w:type="dxa" w:w="2160"/>
          </w:tcPr>
          <w:p>
            <w:r>
              <w:rPr>
                <w:rFonts w:ascii="Calibri" w:hAnsi="Calibri"/>
                <w:sz w:val="22"/>
              </w:rPr>
              <w:t>TEVA (Jul 29), ALKS (Jul 28)</w:t>
            </w:r>
          </w:p>
        </w:tc>
      </w:tr>
      <w:tr>
        <w:tc>
          <w:tcPr>
            <w:tcW w:type="dxa" w:w="2160"/>
          </w:tcPr>
          <w:p>
            <w:r>
              <w:rPr>
                <w:rFonts w:ascii="Calibri" w:hAnsi="Calibri"/>
                <w:sz w:val="22"/>
              </w:rPr>
              <w:t>Operating Leverage / Margin Expansion</w:t>
            </w:r>
          </w:p>
        </w:tc>
        <w:tc>
          <w:tcPr>
            <w:tcW w:type="dxa" w:w="2160"/>
          </w:tcPr>
          <w:p>
            <w:r>
              <w:rPr>
                <w:rFonts w:ascii="Calibri" w:hAnsi="Calibri"/>
                <w:sz w:val="22"/>
              </w:rPr>
              <w:t>TEVA: 30% operating margin target by 2027; RDY: ~20% EBITDA margin even without semaglutide; AMRX: raised EBITDA guidance</w:t>
            </w:r>
          </w:p>
        </w:tc>
        <w:tc>
          <w:tcPr>
            <w:tcW w:type="dxa" w:w="2160"/>
          </w:tcPr>
          <w:p>
            <w:r>
              <w:rPr>
                <w:rFonts w:ascii="Calibri" w:hAnsi="Calibri"/>
                <w:b/>
                <w:color w:val="30A46C"/>
                <w:sz w:val="22"/>
              </w:rPr>
              <w:t>Positive</w:t>
            </w:r>
            <w:r>
              <w:rPr>
                <w:rFonts w:ascii="Calibri" w:hAnsi="Calibri"/>
                <w:sz w:val="22"/>
              </w:rPr>
              <w:t xml:space="preserve"> — industry-wide margin expansion validates VTRS’s $120M savings program and EBITDA leverage story</w:t>
            </w:r>
          </w:p>
        </w:tc>
        <w:tc>
          <w:tcPr>
            <w:tcW w:type="dxa" w:w="2160"/>
          </w:tcPr>
          <w:p>
            <w:r>
              <w:rPr>
                <w:rFonts w:ascii="Calibri" w:hAnsi="Calibri"/>
                <w:sz w:val="22"/>
              </w:rPr>
              <w:t>TEVA (Jul 29), RDY (Jul 22), AMRX (Jul 30)</w:t>
            </w:r>
          </w:p>
        </w:tc>
      </w:tr>
      <w:tr>
        <w:tc>
          <w:tcPr>
            <w:tcW w:type="dxa" w:w="2160"/>
          </w:tcPr>
          <w:p>
            <w:r>
              <w:rPr>
                <w:rFonts w:ascii="Calibri" w:hAnsi="Calibri"/>
                <w:sz w:val="22"/>
              </w:rPr>
              <w:t>Supply Chain Risk (India)</w:t>
            </w:r>
          </w:p>
        </w:tc>
        <w:tc>
          <w:tcPr>
            <w:tcW w:type="dxa" w:w="2160"/>
          </w:tcPr>
          <w:p>
            <w:r>
              <w:rPr>
                <w:rFonts w:ascii="Calibri" w:hAnsi="Calibri"/>
                <w:sz w:val="22"/>
              </w:rPr>
              <w:t>AMRX: $20M headwind from Gujarat flooding; RDY: ~1% cost headwind from Middle East conflict (freight/solvents)</w:t>
            </w:r>
          </w:p>
        </w:tc>
        <w:tc>
          <w:tcPr>
            <w:tcW w:type="dxa" w:w="2160"/>
          </w:tcPr>
          <w:p>
            <w:r>
              <w:rPr>
                <w:rFonts w:ascii="Calibri" w:hAnsi="Calibri"/>
                <w:b/>
                <w:sz w:val="22"/>
              </w:rPr>
              <w:t>Watch</w:t>
            </w:r>
            <w:r>
              <w:rPr>
                <w:rFonts w:ascii="Calibri" w:hAnsi="Calibri"/>
                <w:sz w:val="22"/>
              </w:rPr>
              <w:t xml:space="preserve"> — VTRS has India manufacturing; no similar event disclosed, but risk is real</w:t>
            </w:r>
          </w:p>
        </w:tc>
        <w:tc>
          <w:tcPr>
            <w:tcW w:type="dxa" w:w="2160"/>
          </w:tcPr>
          <w:p>
            <w:r>
              <w:rPr>
                <w:rFonts w:ascii="Calibri" w:hAnsi="Calibri"/>
                <w:sz w:val="22"/>
              </w:rPr>
              <w:t>AMRX (Jul 30), RDY (Jul 22)</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