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36a4774a9d18fe91a0a0a47394e325f3ca243af"/>
    <w:p>
      <w:pPr>
        <w:pStyle w:val="Heading1"/>
      </w:pPr>
      <w:r>
        <w:t xml:space="preserve">Waters Corporation (WAT) — Q2 2026 Earnings Preview</w:t>
      </w:r>
    </w:p>
    <w:bookmarkStart w:id="9" w:name="X780744bde18e953cc2c1c5699de43906910dfba"/>
    <w:p>
      <w:pPr>
        <w:pStyle w:val="Heading3"/>
      </w:pPr>
      <w:r>
        <w:t xml:space="preserve">Reports before market open, Tuesday, August 4, 2026 | 2026Q2 Earnings Call</w:t>
      </w:r>
    </w:p>
    <w:p>
      <w:r>
        <w:pict>
          <v:rect style="width:0;height:1.5pt" o:hralign="center" o:hrstd="t" o:hr="t"/>
        </w:pict>
      </w:r>
    </w:p>
    <w:bookmarkEnd w:id="9"/>
    <w:bookmarkStart w:id="10" w:name="why-this-print-matters"/>
    <w:p>
      <w:pPr>
        <w:pStyle w:val="Heading2"/>
      </w:pPr>
      <w:r>
        <w:t xml:space="preserve">Why this print matters</w:t>
      </w:r>
    </w:p>
    <w:p>
      <w:pPr>
        <w:pStyle w:val="FirstParagraph"/>
      </w:pPr>
      <w:r>
        <w:t xml:space="preserve">This is the</w:t>
      </w:r>
      <w:r>
        <w:t xml:space="preserve"> </w:t>
      </w:r>
      <w:r>
        <w:rPr>
          <w:b/>
          <w:bCs/>
        </w:rPr>
        <w:t xml:space="preserve">first full quarter</w:t>
      </w:r>
      <w:r>
        <w:t xml:space="preserve"> </w:t>
      </w:r>
      <w:r>
        <w:t xml:space="preserve">in which Waters consolidates the acquired</w:t>
      </w:r>
      <w:r>
        <w:t xml:space="preserve"> </w:t>
      </w:r>
      <w:r>
        <w:rPr>
          <w:b/>
          <w:bCs/>
        </w:rPr>
        <w:t xml:space="preserve">Biosciences and Diagnostic Solutions ("BDS") businesses of Becton Dickinson</w:t>
      </w:r>
      <w:r>
        <w:t xml:space="preserve">, which closed on</w:t>
      </w:r>
      <w:r>
        <w:t xml:space="preserve"> </w:t>
      </w:r>
      <w:r>
        <w:rPr>
          <w:b/>
          <w:bCs/>
        </w:rPr>
        <w:t xml:space="preserve">February 9, 2026</w:t>
      </w:r>
      <w:r>
        <w:t xml:space="preserve">. Q1 only captured a ~7-week "owned period" stub, so Q2 is the first clean read on the combined company's revenue base, margin structure, and — most importantly — whether the early momentum in the acquired businesses is real and sustainable. The story going into the print is less about the legacy instrument franchise (which is executing well) and more about</w:t>
      </w:r>
      <w:r>
        <w:t xml:space="preserve"> </w:t>
      </w:r>
      <w:r>
        <w:rPr>
          <w:b/>
          <w:bCs/>
        </w:rPr>
        <w:t xml:space="preserve">integration proof points and the EPS bridge</w:t>
      </w:r>
      <w:r>
        <w:t xml:space="preserve"> </w:t>
      </w:r>
      <w:r>
        <w:t xml:space="preserve">as interest costs and a larger share count weigh on the P&amp;L before synergies flow.</w:t>
      </w:r>
    </w:p>
    <w:p>
      <w:r>
        <w:pict>
          <v:rect style="width:0;height:1.5pt" o:hralign="center" o:hrstd="t" o:hr="t"/>
        </w:pict>
      </w:r>
    </w:p>
    <w:bookmarkEnd w:id="10"/>
    <w:bookmarkStart w:id="11" w:name="what-management-guided-to-for-q2"/>
    <w:p>
      <w:pPr>
        <w:pStyle w:val="Heading2"/>
      </w:pPr>
      <w:r>
        <w:t xml:space="preserve">What management guided to for Q2</w:t>
      </w:r>
    </w:p>
    <w:p>
      <w:pPr>
        <w:pStyle w:val="FirstParagraph"/>
      </w:pPr>
      <w:r>
        <w:t xml:space="preserve">Off the back of a strong Q1, management set the following Q2 2026 targets: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Q2 2026 Guidance</w:t>
            </w:r>
          </w:p>
        </w:tc>
      </w:tr>
      <w:tr>
        <w:tc>
          <w:tcPr/>
          <w:p>
            <w:pPr>
              <w:pStyle w:val="Compact"/>
            </w:pPr>
            <w:r>
              <w:t xml:space="preserve">Organic constant-currency revenue growth</w:t>
            </w:r>
          </w:p>
        </w:tc>
        <w:tc>
          <w:tcPr/>
          <w:p>
            <w:pPr>
              <w:pStyle w:val="Compact"/>
            </w:pPr>
            <w:r>
              <w:rPr>
                <w:b/>
                <w:bCs/>
              </w:rPr>
              <w:t xml:space="preserve">6.0% – 8.0%</w:t>
            </w:r>
          </w:p>
        </w:tc>
      </w:tr>
      <w:tr>
        <w:tc>
          <w:tcPr/>
          <w:p>
            <w:pPr>
              <w:pStyle w:val="Compact"/>
            </w:pPr>
            <w:r>
              <w:t xml:space="preserve">Organic reported revenue (incl. ~0.5% FX headwind)</w:t>
            </w:r>
          </w:p>
        </w:tc>
        <w:tc>
          <w:tcPr/>
          <w:p>
            <w:pPr>
              <w:pStyle w:val="Compact"/>
            </w:pPr>
            <w:r>
              <w:rPr>
                <w:b/>
                <w:bCs/>
              </w:rPr>
              <w:t xml:space="preserve">$814M – $829M</w:t>
            </w:r>
          </w:p>
        </w:tc>
      </w:tr>
      <w:tr>
        <w:tc>
          <w:tcPr/>
          <w:p>
            <w:pPr>
              <w:pStyle w:val="Compact"/>
            </w:pPr>
            <w:r>
              <w:t xml:space="preserve">Acquired (BDS) reported revenue</w:t>
            </w:r>
          </w:p>
        </w:tc>
        <w:tc>
          <w:tcPr/>
          <w:p>
            <w:pPr>
              <w:pStyle w:val="Compact"/>
            </w:pPr>
            <w:r>
              <w:rPr>
                <w:b/>
                <w:bCs/>
              </w:rPr>
              <w:t xml:space="preserve">~$802M</w:t>
            </w:r>
            <w:r>
              <w:t xml:space="preserve"> </w:t>
            </w:r>
            <w:r>
              <w:t xml:space="preserve">(~2.5% reported growth)</w:t>
            </w:r>
          </w:p>
        </w:tc>
      </w:tr>
      <w:tr>
        <w:tc>
          <w:tcPr/>
          <w:p>
            <w:pPr>
              <w:pStyle w:val="Compact"/>
            </w:pPr>
            <w:r>
              <w:t xml:space="preserve">Total reported revenue</w:t>
            </w:r>
          </w:p>
        </w:tc>
        <w:tc>
          <w:tcPr/>
          <w:p>
            <w:pPr>
              <w:pStyle w:val="Compact"/>
            </w:pPr>
            <w:r>
              <w:rPr>
                <w:b/>
                <w:bCs/>
              </w:rPr>
              <w:t xml:space="preserve">$1.616B – $1.631B</w:t>
            </w:r>
          </w:p>
        </w:tc>
      </w:tr>
      <w:tr>
        <w:tc>
          <w:tcPr/>
          <w:p>
            <w:pPr>
              <w:pStyle w:val="Compact"/>
            </w:pPr>
            <w:r>
              <w:t xml:space="preserve">Adjusted EPS</w:t>
            </w:r>
          </w:p>
        </w:tc>
        <w:tc>
          <w:tcPr/>
          <w:p>
            <w:pPr>
              <w:pStyle w:val="Compact"/>
            </w:pPr>
            <w:r>
              <w:rPr>
                <w:b/>
                <w:bCs/>
              </w:rPr>
              <w:t xml:space="preserve">$2.95 – $3.05</w:t>
            </w:r>
            <w:r>
              <w:t xml:space="preserve"> </w:t>
            </w:r>
            <w:r>
              <w:t xml:space="preserve">(flat to +3.4% YoY)</w:t>
            </w:r>
          </w:p>
        </w:tc>
      </w:tr>
    </w:tbl>
    <w:p>
      <w:pPr>
        <w:pStyle w:val="BodyText"/>
      </w:pPr>
      <w:r>
        <w:t xml:space="preserve">The most important nuance:</w:t>
      </w:r>
      <w:r>
        <w:t xml:space="preserve"> </w:t>
      </w:r>
      <w:r>
        <w:rPr>
          <w:b/>
          <w:bCs/>
        </w:rPr>
        <w:t xml:space="preserve">adjusted EPS is guided roughly flat year-over-year</w:t>
      </w:r>
      <w:r>
        <w:t xml:space="preserve"> </w:t>
      </w:r>
      <w:r>
        <w:t xml:space="preserve">despite strong top-line growth. That's because Q2 carries the</w:t>
      </w:r>
      <w:r>
        <w:t xml:space="preserve"> </w:t>
      </w:r>
      <w:r>
        <w:rPr>
          <w:b/>
          <w:bCs/>
        </w:rPr>
        <w:t xml:space="preserve">full burden of higher interest expense (~$186M annualized) and newly issued shares (diluted share count jumped to ~82M from ~60M)</w:t>
      </w:r>
      <w:r>
        <w:t xml:space="preserve">, while the cost synergies and business-level cost actions don't begin hitting the P&amp;L until Q3. Don't misread flattish EPS as a stumble — it's structural timing.</w:t>
      </w:r>
    </w:p>
    <w:p>
      <w:r>
        <w:pict>
          <v:rect style="width:0;height:1.5pt" o:hralign="center" o:hrstd="t" o:hr="t"/>
        </w:pict>
      </w:r>
    </w:p>
    <w:bookmarkEnd w:id="11"/>
    <w:bookmarkStart w:id="12" w:name="full-year-2026-framework-raised-at-q1"/>
    <w:p>
      <w:pPr>
        <w:pStyle w:val="Heading2"/>
      </w:pPr>
      <w:r>
        <w:t xml:space="preserve">Full-year 2026 framework (raised at Q1)</w:t>
      </w:r>
    </w:p>
    <w:p>
      <w:pPr>
        <w:pStyle w:val="Compact"/>
        <w:numPr>
          <w:ilvl w:val="0"/>
          <w:numId w:val="1001"/>
        </w:numPr>
      </w:pPr>
      <w:r>
        <w:rPr>
          <w:b/>
          <w:bCs/>
        </w:rPr>
        <w:t xml:space="preserve">Organic CC revenue growth: 6.5% – 8.0%</w:t>
      </w:r>
      <w:r>
        <w:t xml:space="preserve"> </w:t>
      </w:r>
      <w:r>
        <w:t xml:space="preserve">(raised from prior); includes $15M of revenue synergies.</w:t>
      </w:r>
    </w:p>
    <w:p>
      <w:pPr>
        <w:pStyle w:val="Compact"/>
        <w:numPr>
          <w:ilvl w:val="0"/>
          <w:numId w:val="1001"/>
        </w:numPr>
      </w:pPr>
      <w:r>
        <w:rPr>
          <w:b/>
          <w:bCs/>
        </w:rPr>
        <w:t xml:space="preserve">Acquired BDS revenue: ~$3.035B</w:t>
      </w:r>
      <w:r>
        <w:t xml:space="preserve">, including $35M of revenue synergies.</w:t>
      </w:r>
    </w:p>
    <w:p>
      <w:pPr>
        <w:pStyle w:val="Compact"/>
        <w:numPr>
          <w:ilvl w:val="0"/>
          <w:numId w:val="1001"/>
        </w:numPr>
      </w:pPr>
      <w:r>
        <w:rPr>
          <w:b/>
          <w:bCs/>
        </w:rPr>
        <w:t xml:space="preserve">Total reported revenue: $6.405B – $6.455B.</w:t>
      </w:r>
    </w:p>
    <w:p>
      <w:pPr>
        <w:pStyle w:val="Compact"/>
        <w:numPr>
          <w:ilvl w:val="0"/>
          <w:numId w:val="1001"/>
        </w:numPr>
      </w:pPr>
      <w:r>
        <w:rPr>
          <w:b/>
          <w:bCs/>
        </w:rPr>
        <w:t xml:space="preserve">Adjusted EPS: $14.40 – $14.60</w:t>
      </w:r>
      <w:r>
        <w:t xml:space="preserve"> </w:t>
      </w:r>
      <w:r>
        <w:t xml:space="preserve">(+10–11% YoY).</w:t>
      </w:r>
    </w:p>
    <w:p>
      <w:pPr>
        <w:pStyle w:val="Compact"/>
        <w:numPr>
          <w:ilvl w:val="0"/>
          <w:numId w:val="1001"/>
        </w:numPr>
      </w:pPr>
      <w:r>
        <w:rPr>
          <w:b/>
          <w:bCs/>
        </w:rPr>
        <w:t xml:space="preserve">Adjusted EBIT margin: ~28.2%</w:t>
      </w:r>
      <w:r>
        <w:t xml:space="preserve">; tax rate ~16%.</w:t>
      </w:r>
    </w:p>
    <w:p>
      <w:pPr>
        <w:pStyle w:val="FirstParagraph"/>
      </w:pPr>
      <w:r>
        <w:t xml:space="preserve">Importantly, management</w:t>
      </w:r>
      <w:r>
        <w:t xml:space="preserve"> </w:t>
      </w:r>
      <w:r>
        <w:rPr>
          <w:b/>
          <w:bCs/>
        </w:rPr>
        <w:t xml:space="preserve">deliberately de-risked the second half</w:t>
      </w:r>
      <w:r>
        <w:t xml:space="preserve">: implied H2 legacy organic growth is only ~6% (vs. ~9% in H1), and acquired-business H2 assumptions were set just ~1.5pts above the Q2 guide. So the bar for a beat-and-maintain (or beat-and-raise) into H2 is intentionally low — watch how they frame it.</w:t>
      </w:r>
    </w:p>
    <w:p>
      <w:r>
        <w:pict>
          <v:rect style="width:0;height:1.5pt" o:hralign="center" o:hrstd="t" o:hr="t"/>
        </w:pict>
      </w:r>
    </w:p>
    <w:bookmarkEnd w:id="12"/>
    <w:bookmarkStart w:id="18" w:name="the-five-things-to-watch"/>
    <w:p>
      <w:pPr>
        <w:pStyle w:val="Heading2"/>
      </w:pPr>
      <w:r>
        <w:t xml:space="preserve">The five things to watch</w:t>
      </w:r>
    </w:p>
    <w:bookmarkStart w:id="13" w:name="X8af9640142800f07242f608b977c9faceec8708"/>
    <w:p>
      <w:pPr>
        <w:pStyle w:val="Heading3"/>
      </w:pPr>
      <w:r>
        <w:t xml:space="preserve">1. Is the BD turnaround inflecting positive?</w:t>
      </w:r>
    </w:p>
    <w:p>
      <w:pPr>
        <w:pStyle w:val="FirstParagraph"/>
      </w:pPr>
      <w:r>
        <w:t xml:space="preserve">This is the crux. In Q1, the acquired businesses beat guidance by</w:t>
      </w:r>
      <w:r>
        <w:t xml:space="preserve"> </w:t>
      </w:r>
      <w:r>
        <w:rPr>
          <w:b/>
          <w:bCs/>
        </w:rPr>
        <w:t xml:space="preserve">$40M</w:t>
      </w:r>
      <w:r>
        <w:t xml:space="preserve"> </w:t>
      </w:r>
      <w:r>
        <w:t xml:space="preserve">and showed a sharp sequential improvement on a full-quarter pro forma basis:</w:t>
      </w:r>
    </w:p>
    <w:p>
      <w:pPr>
        <w:pStyle w:val="Compact"/>
        <w:numPr>
          <w:ilvl w:val="0"/>
          <w:numId w:val="1002"/>
        </w:numPr>
      </w:pPr>
      <w:r>
        <w:rPr>
          <w:b/>
          <w:bCs/>
        </w:rPr>
        <w:t xml:space="preserve">Biosciences:</w:t>
      </w:r>
      <w:r>
        <w:t xml:space="preserve"> </w:t>
      </w:r>
      <w:r>
        <w:t xml:space="preserve">–1% pro forma (vs. –10% in Q4'25); +4% ex-China.</w:t>
      </w:r>
    </w:p>
    <w:p>
      <w:pPr>
        <w:pStyle w:val="Compact"/>
        <w:numPr>
          <w:ilvl w:val="0"/>
          <w:numId w:val="1002"/>
        </w:numPr>
      </w:pPr>
      <w:r>
        <w:rPr>
          <w:b/>
          <w:bCs/>
        </w:rPr>
        <w:t xml:space="preserve">Diagnostic Solutions:</w:t>
      </w:r>
      <w:r>
        <w:t xml:space="preserve"> </w:t>
      </w:r>
      <w:r>
        <w:t xml:space="preserve">+1% pro forma (vs. high-single-digit decline in Q4'25); +6% ex-respiratory.</w:t>
      </w:r>
    </w:p>
    <w:p>
      <w:pPr>
        <w:pStyle w:val="FirstParagraph"/>
      </w:pPr>
      <w:r>
        <w:t xml:space="preserve">Management's</w:t>
      </w:r>
      <w:r>
        <w:t xml:space="preserve"> </w:t>
      </w:r>
      <w:r>
        <w:rPr>
          <w:b/>
          <w:bCs/>
        </w:rPr>
        <w:t xml:space="preserve">"180-day plan"</w:t>
      </w:r>
      <w:r>
        <w:t xml:space="preserve"> </w:t>
      </w:r>
      <w:r>
        <w:t xml:space="preserve">(funnel rigor, doubled call activity, pricing deal desks, reagent-rental contract compliance, China localization) is the engine. In Q2, investors will want confirmation these businesses are turning</w:t>
      </w:r>
      <w:r>
        <w:t xml:space="preserve"> </w:t>
      </w:r>
      <w:r>
        <w:rPr>
          <w:b/>
          <w:bCs/>
        </w:rPr>
        <w:t xml:space="preserve">outright positive</w:t>
      </w:r>
      <w:r>
        <w:t xml:space="preserve">, aided by an easier comp, the disappearance of the ~$20M respiratory/flu headwind, and China DRG headwinds beginning to annualize.</w:t>
      </w:r>
    </w:p>
    <w:bookmarkEnd w:id="13"/>
    <w:bookmarkStart w:id="14" w:name="X38fd321f009b24cd4a6eac3c613e5b10ee635e0"/>
    <w:p>
      <w:pPr>
        <w:pStyle w:val="Heading3"/>
      </w:pPr>
      <w:r>
        <w:t xml:space="preserve">2. Legacy Waters organic durability</w:t>
      </w:r>
    </w:p>
    <w:p>
      <w:pPr>
        <w:pStyle w:val="FirstParagraph"/>
      </w:pPr>
      <w:r>
        <w:t xml:space="preserve">The Analytical Sciences engine is running hot — Q1 organic was</w:t>
      </w:r>
      <w:r>
        <w:t xml:space="preserve"> </w:t>
      </w:r>
      <w:r>
        <w:rPr>
          <w:b/>
          <w:bCs/>
        </w:rPr>
        <w:t xml:space="preserve">+11% CC (a 200bp beat)</w:t>
      </w:r>
      <w:r>
        <w:t xml:space="preserve">, though ~4 extra selling days added roughly 2pts to total legacy growth. Key threads:</w:t>
      </w:r>
    </w:p>
    <w:p>
      <w:pPr>
        <w:pStyle w:val="Compact"/>
        <w:numPr>
          <w:ilvl w:val="0"/>
          <w:numId w:val="1003"/>
        </w:numPr>
      </w:pPr>
      <w:r>
        <w:rPr>
          <w:b/>
          <w:bCs/>
        </w:rPr>
        <w:t xml:space="preserve">Chemistry</w:t>
      </w:r>
      <w:r>
        <w:t xml:space="preserve"> </w:t>
      </w:r>
      <w:r>
        <w:t xml:space="preserve">grew +13% in Q1 but FY guide is only ~6.5% (tough comps + Q2'25 pull-forward). Expect a deceleration here — the question is how much.</w:t>
      </w:r>
    </w:p>
    <w:p>
      <w:pPr>
        <w:pStyle w:val="Compact"/>
        <w:numPr>
          <w:ilvl w:val="0"/>
          <w:numId w:val="1003"/>
        </w:numPr>
      </w:pPr>
      <w:r>
        <w:rPr>
          <w:b/>
          <w:bCs/>
        </w:rPr>
        <w:t xml:space="preserve">Instrument replacement cycle</w:t>
      </w:r>
      <w:r>
        <w:t xml:space="preserve"> </w:t>
      </w:r>
      <w:r>
        <w:t xml:space="preserve">(LC-MS high-single-digit) — management sees a runway through 2027 with a "reshoring bridge" into 2028. Watch for any softening in order trends (orders outpaced sales in Q1).</w:t>
      </w:r>
    </w:p>
    <w:p>
      <w:pPr>
        <w:pStyle w:val="Compact"/>
        <w:numPr>
          <w:ilvl w:val="0"/>
          <w:numId w:val="1003"/>
        </w:numPr>
      </w:pPr>
      <w:r>
        <w:rPr>
          <w:b/>
          <w:bCs/>
        </w:rPr>
        <w:t xml:space="preserve">Pharma</w:t>
      </w:r>
      <w:r>
        <w:t xml:space="preserve"> </w:t>
      </w:r>
      <w:r>
        <w:t xml:space="preserve">(+14%, with China +50%) and</w:t>
      </w:r>
      <w:r>
        <w:t xml:space="preserve"> </w:t>
      </w:r>
      <w:r>
        <w:rPr>
          <w:b/>
          <w:bCs/>
        </w:rPr>
        <w:t xml:space="preserve">academic &amp; government</w:t>
      </w:r>
      <w:r>
        <w:t xml:space="preserve"> </w:t>
      </w:r>
      <w:r>
        <w:t xml:space="preserve">(+18%) were standouts — sustainability is key given macro/funding uncertainty in US academic markets.</w:t>
      </w:r>
    </w:p>
    <w:bookmarkEnd w:id="14"/>
    <w:bookmarkStart w:id="15" w:name="Xa86704616640801b5cb8280a07d4f11df265a4d"/>
    <w:p>
      <w:pPr>
        <w:pStyle w:val="Heading3"/>
      </w:pPr>
      <w:r>
        <w:t xml:space="preserve">3. Margin trajectory and the synergy timeline</w:t>
      </w:r>
    </w:p>
    <w:p>
      <w:pPr>
        <w:pStyle w:val="FirstParagraph"/>
      </w:pPr>
      <w:r>
        <w:t xml:space="preserve">Q1 adjusted operating margin was</w:t>
      </w:r>
      <w:r>
        <w:t xml:space="preserve"> </w:t>
      </w:r>
      <w:r>
        <w:rPr>
          <w:b/>
          <w:bCs/>
        </w:rPr>
        <w:t xml:space="preserve">23.6% (~200bp beat)</w:t>
      </w:r>
      <w:r>
        <w:t xml:space="preserve">, achieved</w:t>
      </w:r>
      <w:r>
        <w:t xml:space="preserve"> </w:t>
      </w:r>
      <w:r>
        <w:rPr>
          <w:i/>
          <w:iCs/>
        </w:rPr>
        <w:t xml:space="preserve">before</w:t>
      </w:r>
      <w:r>
        <w:t xml:space="preserve"> </w:t>
      </w:r>
      <w:r>
        <w:t xml:space="preserve">any synergy benefit. The</w:t>
      </w:r>
      <w:r>
        <w:t xml:space="preserve"> </w:t>
      </w:r>
      <w:r>
        <w:rPr>
          <w:b/>
          <w:bCs/>
        </w:rPr>
        <w:t xml:space="preserve">$55M cost-synergy target for 2026</w:t>
      </w:r>
      <w:r>
        <w:t xml:space="preserve"> </w:t>
      </w:r>
      <w:r>
        <w:t xml:space="preserve">plus restructuring/business realignment begin hitting the P&amp;L in</w:t>
      </w:r>
      <w:r>
        <w:t xml:space="preserve"> </w:t>
      </w:r>
      <w:r>
        <w:rPr>
          <w:b/>
          <w:bCs/>
        </w:rPr>
        <w:t xml:space="preserve">Q3</w:t>
      </w:r>
      <w:r>
        <w:t xml:space="preserve">. Q2 will be the margin trough on a combined basis — look for management to reaffirm the path to ~28.2% FY EBIT margin and the "100bp+ annual margin expansion through the decade" algorithm.</w:t>
      </w:r>
    </w:p>
    <w:bookmarkEnd w:id="15"/>
    <w:bookmarkStart w:id="16" w:name="X5b23ee7b00bcb339ca473ca86f771507be839e5"/>
    <w:p>
      <w:pPr>
        <w:pStyle w:val="Heading3"/>
      </w:pPr>
      <w:r>
        <w:t xml:space="preserve">4. China and new-product catalysts</w:t>
      </w:r>
    </w:p>
    <w:p>
      <w:pPr>
        <w:pStyle w:val="Compact"/>
        <w:numPr>
          <w:ilvl w:val="0"/>
          <w:numId w:val="1004"/>
        </w:numPr>
      </w:pPr>
      <w:r>
        <w:rPr>
          <w:b/>
          <w:bCs/>
        </w:rPr>
        <w:t xml:space="preserve">China flow-cytometry localization</w:t>
      </w:r>
      <w:r>
        <w:t xml:space="preserve"> </w:t>
      </w:r>
      <w:r>
        <w:t xml:space="preserve">("China-for-China" manufacturing) is slated to begin in</w:t>
      </w:r>
      <w:r>
        <w:t xml:space="preserve"> </w:t>
      </w:r>
      <w:r>
        <w:rPr>
          <w:b/>
          <w:bCs/>
        </w:rPr>
        <w:t xml:space="preserve">Q3</w:t>
      </w:r>
      <w:r>
        <w:t xml:space="preserve"> </w:t>
      </w:r>
      <w:r>
        <w:t xml:space="preserve">— Q2 commentary on tender activity and export-control workarounds matters for the Biosciences recovery narrative.</w:t>
      </w:r>
    </w:p>
    <w:p>
      <w:pPr>
        <w:pStyle w:val="Compact"/>
        <w:numPr>
          <w:ilvl w:val="0"/>
          <w:numId w:val="1004"/>
        </w:numPr>
      </w:pPr>
      <w:r>
        <w:rPr>
          <w:b/>
          <w:bCs/>
        </w:rPr>
        <w:t xml:space="preserve">New products:</w:t>
      </w:r>
      <w:r>
        <w:t xml:space="preserve"> </w:t>
      </w:r>
      <w:r>
        <w:t xml:space="preserve">BACTEC FXI blood-culture launch was pulled forward 3–5 months (CE-marked, available in Europe/Japan); BD Onclarity HPV self-collection received FDA clearance. Any early traction data would support the multi-year "Phase 2/3" growth story.</w:t>
      </w:r>
    </w:p>
    <w:bookmarkEnd w:id="16"/>
    <w:bookmarkStart w:id="17" w:name="X735bd60b30db459b4d6eda416e2740e0a61dbd2"/>
    <w:p>
      <w:pPr>
        <w:pStyle w:val="Heading3"/>
      </w:pPr>
      <w:r>
        <w:t xml:space="preserve">5. Macro / cost backdrop</w:t>
      </w:r>
    </w:p>
    <w:p>
      <w:pPr>
        <w:pStyle w:val="FirstParagraph"/>
      </w:pPr>
      <w:r>
        <w:t xml:space="preserve">Management flagged</w:t>
      </w:r>
      <w:r>
        <w:t xml:space="preserve"> </w:t>
      </w:r>
      <w:r>
        <w:rPr>
          <w:b/>
          <w:bCs/>
        </w:rPr>
        <w:t xml:space="preserve">elevated freight, raw material and component costs tied to Middle East conflict</w:t>
      </w:r>
      <w:r>
        <w:t xml:space="preserve"> </w:t>
      </w:r>
      <w:r>
        <w:t xml:space="preserve">but claims full mitigation for the balance of the year. With oil-driven inflation and geopolitical disruption prominent in the current macro tape, confirmation that these costs remain offset is worth monitoring, alongside tariff dynamics.</w:t>
      </w:r>
    </w:p>
    <w:p>
      <w:r>
        <w:pict>
          <v:rect style="width:0;height:1.5pt" o:hralign="center" o:hrstd="t" o:hr="t"/>
        </w:pict>
      </w:r>
    </w:p>
    <w:bookmarkEnd w:id="17"/>
    <w:bookmarkEnd w:id="18"/>
    <w:bookmarkStart w:id="19" w:name="setup-into-the-print"/>
    <w:p>
      <w:pPr>
        <w:pStyle w:val="Heading2"/>
      </w:pPr>
      <w:r>
        <w:t xml:space="preserve">Setup into the print</w:t>
      </w:r>
    </w:p>
    <w:p>
      <w:pPr>
        <w:pStyle w:val="Compact"/>
        <w:numPr>
          <w:ilvl w:val="0"/>
          <w:numId w:val="1005"/>
        </w:numPr>
      </w:pPr>
      <w:r>
        <w:rPr>
          <w:b/>
          <w:bCs/>
        </w:rPr>
        <w:t xml:space="preserve">Stock:</w:t>
      </w:r>
      <w:r>
        <w:t xml:space="preserve"> </w:t>
      </w:r>
      <w:r>
        <w:t xml:space="preserve">~</w:t>
      </w:r>
      <m:oMath>
        <m:r>
          <m:t>375</m:t>
        </m:r>
        <m:r>
          <m:t>a</m:t>
        </m:r>
        <m:r>
          <m:t>s</m:t>
        </m:r>
        <m:r>
          <m:t>o</m:t>
        </m:r>
        <m:r>
          <m:t>f</m:t>
        </m:r>
        <m:r>
          <m:t>A</m:t>
        </m:r>
        <m:r>
          <m:t>u</m:t>
        </m:r>
        <m:r>
          <m:t>g</m:t>
        </m:r>
        <m:r>
          <m:t>3</m:t>
        </m:r>
        <m:r>
          <m:rPr>
            <m:sty m:val="p"/>
          </m:rPr>
          <m:t>,</m:t>
        </m:r>
        <m:r>
          <m:t>r</m:t>
        </m:r>
        <m:r>
          <m:t>o</m:t>
        </m:r>
        <m:r>
          <m:t>u</m:t>
        </m:r>
        <m:r>
          <m:t>g</m:t>
        </m:r>
        <m:r>
          <m:t>h</m:t>
        </m:r>
        <m:r>
          <m:t>l</m:t>
        </m:r>
        <m:r>
          <m:t>y</m:t>
        </m:r>
        <m:r>
          <m:rPr>
            <m:sty m:val="p"/>
          </m:rPr>
          <m:t>*</m:t>
        </m:r>
        <m:r>
          <m:rPr>
            <m:sty m:val="p"/>
          </m:rPr>
          <m:t>*</m:t>
        </m:r>
        <m:r>
          <m:t>f</m:t>
        </m:r>
        <m:r>
          <m:t>l</m:t>
        </m:r>
        <m:r>
          <m:t>a</m:t>
        </m:r>
        <m:r>
          <m:t>t</m:t>
        </m:r>
        <m:r>
          <m:t>y</m:t>
        </m:r>
        <m:r>
          <m:t>e</m:t>
        </m:r>
        <m:r>
          <m:t>a</m:t>
        </m:r>
        <m:r>
          <m:t>r</m:t>
        </m:r>
        <m:r>
          <m:rPr>
            <m:sty m:val="p"/>
          </m:rPr>
          <m:t>−</m:t>
        </m:r>
        <m:r>
          <m:t>t</m:t>
        </m:r>
        <m:r>
          <m:t>o</m:t>
        </m:r>
        <m:r>
          <m:rPr>
            <m:sty m:val="p"/>
          </m:rPr>
          <m:t>−</m:t>
        </m:r>
        <m:r>
          <m:t>d</m:t>
        </m:r>
        <m:r>
          <m:t>a</m:t>
        </m:r>
        <m:r>
          <m:t>t</m:t>
        </m:r>
        <m:r>
          <m:t>e</m:t>
        </m:r>
        <m:r>
          <m:rPr>
            <m:sty m:val="p"/>
          </m:rPr>
          <m:t>*</m:t>
        </m:r>
        <m:r>
          <m:rPr>
            <m:sty m:val="p"/>
          </m:rPr>
          <m:t>*</m:t>
        </m:r>
        <m:r>
          <m:rPr>
            <m:sty m:val="p"/>
          </m:rPr>
          <m:t>(</m:t>
        </m:r>
      </m:oMath>
      <w:r>
        <w:t xml:space="preserve">382 on Jan 2). Shares gapped down to ~</w:t>
      </w:r>
      <m:oMath>
        <m:r>
          <m:t>328</m:t>
        </m:r>
        <m:r>
          <m:t>a</m:t>
        </m:r>
        <m:r>
          <m:t>r</m:t>
        </m:r>
        <m:r>
          <m:t>o</m:t>
        </m:r>
        <m:r>
          <m:t>u</m:t>
        </m:r>
        <m:r>
          <m:t>n</m:t>
        </m:r>
        <m:r>
          <m:t>d</m:t>
        </m:r>
        <m:r>
          <m:t>t</m:t>
        </m:r>
        <m:r>
          <m:t>h</m:t>
        </m:r>
        <m:r>
          <m:t>e</m:t>
        </m:r>
        <m:r>
          <m:t>F</m:t>
        </m:r>
        <m:r>
          <m:t>e</m:t>
        </m:r>
        <m:r>
          <m:t>b</m:t>
        </m:r>
        <m:r>
          <m:t>9</m:t>
        </m:r>
        <m:r>
          <m:t>c</m:t>
        </m:r>
        <m:r>
          <m:t>l</m:t>
        </m:r>
        <m:r>
          <m:t>o</m:t>
        </m:r>
        <m:r>
          <m:t>s</m:t>
        </m:r>
        <m:r>
          <m:t>e</m:t>
        </m:r>
        <m:r>
          <m:rPr>
            <m:sty m:val="p"/>
          </m:rPr>
          <m:t>(</m:t>
        </m:r>
        <m:r>
          <m:t>d</m:t>
        </m:r>
        <m:r>
          <m:t>i</m:t>
        </m:r>
        <m:r>
          <m:t>l</m:t>
        </m:r>
        <m:r>
          <m:t>u</m:t>
        </m:r>
        <m:r>
          <m:t>t</m:t>
        </m:r>
        <m:r>
          <m:t>i</m:t>
        </m:r>
        <m:r>
          <m:t>o</m:t>
        </m:r>
        <m:r>
          <m:t>n</m:t>
        </m:r>
        <m:r>
          <m:t>f</m:t>
        </m:r>
        <m:r>
          <m:t>r</m:t>
        </m:r>
        <m:r>
          <m:t>o</m:t>
        </m:r>
        <m:r>
          <m:t>m</m:t>
        </m:r>
        <m:r>
          <m:t>t</m:t>
        </m:r>
        <m:r>
          <m:t>h</m:t>
        </m:r>
        <m:r>
          <m:t>e</m:t>
        </m:r>
        <m:r>
          <m:t>d</m:t>
        </m:r>
        <m:r>
          <m:t>e</m:t>
        </m:r>
        <m:r>
          <m:t>a</m:t>
        </m:r>
        <m:r>
          <m:t>l</m:t>
        </m:r>
        <m:r>
          <m:rPr>
            <m:sty m:val="p"/>
          </m:rPr>
          <m:t>)</m:t>
        </m:r>
        <m:r>
          <m:t>a</m:t>
        </m:r>
        <m:r>
          <m:t>n</m:t>
        </m:r>
        <m:r>
          <m:t>d</m:t>
        </m:r>
        <m:r>
          <m:t>h</m:t>
        </m:r>
        <m:r>
          <m:t>a</m:t>
        </m:r>
        <m:r>
          <m:t>v</m:t>
        </m:r>
        <m:r>
          <m:t>e</m:t>
        </m:r>
        <m:r>
          <m:t>s</m:t>
        </m:r>
        <m:r>
          <m:t>i</m:t>
        </m:r>
        <m:r>
          <m:t>n</m:t>
        </m:r>
        <m:r>
          <m:t>c</m:t>
        </m:r>
        <m:r>
          <m:t>e</m:t>
        </m:r>
        <m:r>
          <m:t>r</m:t>
        </m:r>
        <m:r>
          <m:t>e</m:t>
        </m:r>
        <m:r>
          <m:t>c</m:t>
        </m:r>
        <m:r>
          <m:t>o</m:t>
        </m:r>
        <m:r>
          <m:t>v</m:t>
        </m:r>
        <m:r>
          <m:t>e</m:t>
        </m:r>
        <m:r>
          <m:t>r</m:t>
        </m:r>
        <m:r>
          <m:t>e</m:t>
        </m:r>
        <m:r>
          <m:t>d</m:t>
        </m:r>
        <m:r>
          <m:t>s</m:t>
        </m:r>
        <m:r>
          <m:t>t</m:t>
        </m:r>
        <m:r>
          <m:t>r</m:t>
        </m:r>
        <m:r>
          <m:t>o</m:t>
        </m:r>
        <m:r>
          <m:t>n</m:t>
        </m:r>
        <m:r>
          <m:t>g</m:t>
        </m:r>
        <m:r>
          <m:t>l</m:t>
        </m:r>
        <m:r>
          <m:t>y</m:t>
        </m:r>
        <m:r>
          <m:rPr>
            <m:sty m:val="p"/>
          </m:rPr>
          <m:t>—</m:t>
        </m:r>
        <m:r>
          <m:t>u</m:t>
        </m:r>
        <m:r>
          <m:t>p</m:t>
        </m:r>
        <m:r>
          <m:t> </m:t>
        </m:r>
        <m:r>
          <m:t>24</m:t>
        </m:r>
      </m:oMath>
      <w:r>
        <w:t xml:space="preserve">302 on May 4), reflecting a very positive reaction to the Q1 beat-and-raise. The stock has drifted ~2% below its late-July high (~$384).</w:t>
      </w:r>
    </w:p>
    <w:p>
      <w:pPr>
        <w:pStyle w:val="Compact"/>
        <w:numPr>
          <w:ilvl w:val="0"/>
          <w:numId w:val="1005"/>
        </w:numPr>
      </w:pPr>
      <w:r>
        <w:rPr>
          <w:b/>
          <w:bCs/>
        </w:rPr>
        <w:t xml:space="preserve">Expectations bar:</w:t>
      </w:r>
      <w:r>
        <w:t xml:space="preserve"> </w:t>
      </w:r>
      <w:r>
        <w:t xml:space="preserve">After a large Q1 beat and a guidance raise, the buy-side bar is elevated. The debate is whether Q2 delivers</w:t>
      </w:r>
      <w:r>
        <w:t xml:space="preserve"> </w:t>
      </w:r>
      <w:r>
        <w:rPr>
          <w:i/>
          <w:iCs/>
        </w:rPr>
        <w:t xml:space="preserve">another</w:t>
      </w:r>
      <w:r>
        <w:t xml:space="preserve"> </w:t>
      </w:r>
      <w:r>
        <w:t xml:space="preserve">acquired-business beat vs. management's conservatively set numbers. Given the deliberately de-risked H2 and the "not embedded in guidance" upside levers management repeatedly flagged (pricing, tariff mitigation, reagent-rental compliance), the framing around a</w:t>
      </w:r>
      <w:r>
        <w:t xml:space="preserve"> </w:t>
      </w:r>
      <w:r>
        <w:rPr>
          <w:b/>
          <w:bCs/>
        </w:rPr>
        <w:t xml:space="preserve">potential FY raise</w:t>
      </w:r>
      <w:r>
        <w:t xml:space="preserve"> </w:t>
      </w:r>
      <w:r>
        <w:t xml:space="preserve">will likely drive the reaction more than the printed quarter.</w:t>
      </w:r>
    </w:p>
    <w:p>
      <w:r>
        <w:pict>
          <v:rect style="width:0;height:1.5pt" o:hralign="center" o:hrstd="t" o:hr="t"/>
        </w:pict>
      </w:r>
    </w:p>
    <w:bookmarkEnd w:id="19"/>
    <w:bookmarkStart w:id="20" w:name="bottom-line"/>
    <w:p>
      <w:pPr>
        <w:pStyle w:val="Heading2"/>
      </w:pPr>
      <w:r>
        <w:t xml:space="preserve">Bottom line</w:t>
      </w:r>
    </w:p>
    <w:p>
      <w:pPr>
        <w:pStyle w:val="FirstParagraph"/>
      </w:pPr>
      <w:r>
        <w:t xml:space="preserve">Waters heads into Q2 with</w:t>
      </w:r>
      <w:r>
        <w:t xml:space="preserve"> </w:t>
      </w:r>
      <w:r>
        <w:rPr>
          <w:b/>
          <w:bCs/>
        </w:rPr>
        <w:t xml:space="preserve">legacy momentum intact and early evidence that the BD integration is tracking ahead of plan</w:t>
      </w:r>
      <w:r>
        <w:t xml:space="preserve">. The key tension: reported EPS growth will look muted (flat YoY) due to financing and dilution timing, so the market's focus should be on</w:t>
      </w:r>
      <w:r>
        <w:t xml:space="preserve"> </w:t>
      </w:r>
      <w:r>
        <w:rPr>
          <w:b/>
          <w:bCs/>
        </w:rPr>
        <w:t xml:space="preserve">(a) the acquired-business inflection to positive growth, (b) chemistry/instrument order durability, and (c) whether management raises the full year again</w:t>
      </w:r>
      <w:r>
        <w:t xml:space="preserve"> </w:t>
      </w:r>
      <w:r>
        <w:t xml:space="preserve">as the "not-in-guidance" upside levers materialize. A clean quarter that de-risks the back half — plus the Q3 arrival of cost synergies — would reinforce the multi-year mid-teens EPS growth algorithm management is pitching.</w:t>
      </w:r>
    </w:p>
    <w:p>
      <w:pPr>
        <w:pStyle w:val="BodyText"/>
      </w:pPr>
      <w:r>
        <w:rPr>
          <w:i/>
          <w:iCs/>
        </w:rPr>
        <w:t xml:space="preserve">Note: All figures above are drawn from Waters' Q1 2026 earnings release and conference call (May 5, 2026). No WAT-specific news flow was available in the days immediately preceding this report.</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2026-08-04T00:15:23Z</dcterms:created>
  <dcterms:modified xsi:type="dcterms:W3CDTF">2026-08-04T00:15:23Z</dcterms:modified>
</cp:coreProperties>
</file>

<file path=docProps/custom.xml><?xml version="1.0" encoding="utf-8"?>
<Properties xmlns="http://schemas.openxmlformats.org/officeDocument/2006/custom-properties" xmlns:vt="http://schemas.openxmlformats.org/officeDocument/2006/docPropsVTypes"/>
</file>