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50b7c56591c050f3d63e6bf490a762b1a1ed97e"/>
    <w:p>
      <w:pPr>
        <w:pStyle w:val="Heading1"/>
      </w:pPr>
      <w:r>
        <w:t xml:space="preserve">Waters Corporation (NYSE: WAT) — 2026Q2 Earnings Preview</w:t>
      </w:r>
    </w:p>
    <w:p>
      <w:pPr>
        <w:pStyle w:val="BlockText"/>
      </w:pPr>
      <w:r>
        <w:rPr>
          <w:b/>
          <w:bCs/>
        </w:rPr>
        <w:t xml:space="preserve">Timing note:</w:t>
      </w:r>
      <w:r>
        <w:t xml:space="preserve"> </w:t>
      </w:r>
      <w:r>
        <w:t xml:space="preserve">Waters scheduled its second-quarter call for</w:t>
      </w:r>
      <w:r>
        <w:t xml:space="preserve"> </w:t>
      </w:r>
      <w:r>
        <w:rPr>
          <w:b/>
          <w:bCs/>
        </w:rPr>
        <w:t xml:space="preserve">Tuesday, August 4, 2026, at 8:00 a.m. ET</w:t>
      </w:r>
      <w:r>
        <w:t xml:space="preserve">. Under the stated current date, that is</w:t>
      </w:r>
      <w:r>
        <w:t xml:space="preserve"> </w:t>
      </w:r>
      <w:r>
        <w:rPr>
          <w:b/>
          <w:bCs/>
        </w:rPr>
        <w:t xml:space="preserve">today rather than tomorrow</w:t>
      </w:r>
      <w:r>
        <w:t xml:space="preserve">. No Q2 release was available in the documents reviewed, so this preview treats the report as still pending.</w:t>
      </w:r>
    </w:p>
    <w:bookmarkStart w:id="9" w:name="investment-setup"/>
    <w:p>
      <w:pPr>
        <w:pStyle w:val="Heading2"/>
      </w:pPr>
      <w:r>
        <w:t xml:space="preserve">Investment setup</w:t>
      </w:r>
    </w:p>
    <w:p>
      <w:pPr>
        <w:pStyle w:val="FirstParagraph"/>
      </w:pPr>
      <w:r>
        <w:t xml:space="preserve">This is Waters’ second report since closing the acquisition of BD’s Biosciences and Diagnostic Solutions businesses on February 9. Q1 was an unusually strong opening quarter: legacy Waters delivered double-digit organic growth, the acquired businesses exceeded management’s revenue expectations by $40 million, and adjusted EPS beat the high end of guidance by $0.35.</w:t>
      </w:r>
    </w:p>
    <w:p>
      <w:pPr>
        <w:pStyle w:val="BodyText"/>
      </w:pPr>
      <w:r>
        <w:t xml:space="preserve">Consequently, merely meeting Q2 guidance may not be enough to satisfy investors. The central question is whether Q1 marked the beginning of a durable improvement in the combined company—or benefited from extra selling days, shipment timing, easy comparisons and the initial burst of post-close execution.</w:t>
      </w:r>
    </w:p>
    <w:p>
      <w:pPr>
        <w:pStyle w:val="BodyText"/>
      </w:pPr>
      <w:r>
        <w:t xml:space="preserve">The report should be judged on four things:</w:t>
      </w:r>
    </w:p>
    <w:p>
      <w:pPr>
        <w:pStyle w:val="Compact"/>
        <w:numPr>
          <w:ilvl w:val="0"/>
          <w:numId w:val="1001"/>
        </w:numPr>
      </w:pPr>
      <w:r>
        <w:rPr>
          <w:b/>
          <w:bCs/>
        </w:rPr>
        <w:t xml:space="preserve">Durability of legacy Waters’ above-market growth</w:t>
      </w:r>
    </w:p>
    <w:p>
      <w:pPr>
        <w:pStyle w:val="Compact"/>
        <w:numPr>
          <w:ilvl w:val="0"/>
          <w:numId w:val="1001"/>
        </w:numPr>
      </w:pPr>
      <w:r>
        <w:rPr>
          <w:b/>
          <w:bCs/>
        </w:rPr>
        <w:t xml:space="preserve">Continued recovery in Biosciences and Diagnostics</w:t>
      </w:r>
    </w:p>
    <w:p>
      <w:pPr>
        <w:pStyle w:val="Compact"/>
        <w:numPr>
          <w:ilvl w:val="0"/>
          <w:numId w:val="1001"/>
        </w:numPr>
      </w:pPr>
      <w:r>
        <w:rPr>
          <w:b/>
          <w:bCs/>
        </w:rPr>
        <w:t xml:space="preserve">Evidence that cost and revenue synergies will reach the P&amp;L in the second half</w:t>
      </w:r>
    </w:p>
    <w:p>
      <w:pPr>
        <w:pStyle w:val="Compact"/>
        <w:numPr>
          <w:ilvl w:val="0"/>
          <w:numId w:val="1001"/>
        </w:numPr>
      </w:pPr>
      <w:r>
        <w:rPr>
          <w:b/>
          <w:bCs/>
        </w:rPr>
        <w:t xml:space="preserve">Cash-flow normalization and balance-sheet progress</w:t>
      </w:r>
    </w:p>
    <w:p>
      <w:r>
        <w:pict>
          <v:rect style="width:0;height:1.5pt" o:hralign="center" o:hrstd="t" o:hr="t"/>
        </w:pict>
      </w:r>
    </w:p>
    <w:bookmarkEnd w:id="9"/>
    <w:bookmarkStart w:id="10" w:name="the-reported-benchmarks"/>
    <w:p>
      <w:pPr>
        <w:pStyle w:val="Heading2"/>
      </w:pPr>
      <w:r>
        <w:t xml:space="preserve">The reported benchmarks</w:t>
      </w:r>
    </w:p>
    <w:p>
      <w:pPr>
        <w:pStyle w:val="FirstParagraph"/>
      </w:pPr>
      <w:r>
        <w:t xml:space="preserve">Management’s Q2 guidance provides the most relevant hurdle: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guidance</w:t>
            </w:r>
          </w:p>
        </w:tc>
      </w:tr>
      <w:tr>
        <w:tc>
          <w:tcPr/>
          <w:p>
            <w:pPr>
              <w:pStyle w:val="Compact"/>
            </w:pPr>
            <w:r>
              <w:t xml:space="preserve">Legacy organic constant-currency growth</w:t>
            </w:r>
          </w:p>
        </w:tc>
        <w:tc>
          <w:tcPr/>
          <w:p>
            <w:pPr>
              <w:pStyle w:val="Compact"/>
              <w:jc w:val="right"/>
            </w:pPr>
            <w:r>
              <w:rPr>
                <w:b/>
                <w:bCs/>
              </w:rPr>
              <w:t xml:space="preserve">6%–8%</w:t>
            </w:r>
          </w:p>
        </w:tc>
      </w:tr>
      <w:tr>
        <w:tc>
          <w:tcPr/>
          <w:p>
            <w:pPr>
              <w:pStyle w:val="Compact"/>
            </w:pPr>
            <w:r>
              <w:t xml:space="preserve">Legacy reported revenue</w:t>
            </w:r>
          </w:p>
        </w:tc>
        <w:tc>
          <w:tcPr/>
          <w:p>
            <w:pPr>
              <w:pStyle w:val="Compact"/>
              <w:jc w:val="right"/>
            </w:pPr>
            <m:oMath>
              <m:r>
                <m:t>814</m:t>
              </m:r>
              <m:r>
                <m:t>M</m:t>
              </m:r>
              <m:r>
                <m:rPr>
                  <m:sty m:val="p"/>
                </m:rPr>
                <m:t>–</m:t>
              </m:r>
            </m:oMath>
            <w:r>
              <w:rPr>
                <w:b/>
                <w:bCs/>
              </w:rPr>
              <w:t xml:space="preserve">829M</w:t>
            </w:r>
          </w:p>
        </w:tc>
      </w:tr>
      <w:tr>
        <w:tc>
          <w:tcPr/>
          <w:p>
            <w:pPr>
              <w:pStyle w:val="Compact"/>
            </w:pPr>
            <w:r>
              <w:t xml:space="preserve">Acquired Biosciences and Diagnostic Solutions revenue</w:t>
            </w:r>
          </w:p>
        </w:tc>
        <w:tc>
          <w:tcPr/>
          <w:p>
            <w:pPr>
              <w:pStyle w:val="Compact"/>
              <w:jc w:val="right"/>
            </w:pPr>
            <w:r>
              <w:rPr>
                <w:b/>
                <w:bCs/>
              </w:rPr>
              <w:t xml:space="preserve">~$802M</w:t>
            </w:r>
          </w:p>
        </w:tc>
      </w:tr>
      <w:tr>
        <w:tc>
          <w:tcPr/>
          <w:p>
            <w:pPr>
              <w:pStyle w:val="Compact"/>
            </w:pPr>
            <w:r>
              <w:t xml:space="preserve">Acquired-business reported growth</w:t>
            </w:r>
          </w:p>
        </w:tc>
        <w:tc>
          <w:tcPr/>
          <w:p>
            <w:pPr>
              <w:pStyle w:val="Compact"/>
              <w:jc w:val="right"/>
            </w:pPr>
            <w:r>
              <w:rPr>
                <w:b/>
                <w:bCs/>
              </w:rPr>
              <w:t xml:space="preserve">~2.5%</w:t>
            </w:r>
          </w:p>
        </w:tc>
      </w:tr>
      <w:tr>
        <w:tc>
          <w:tcPr/>
          <w:p>
            <w:pPr>
              <w:pStyle w:val="Compact"/>
            </w:pPr>
            <w:r>
              <w:t xml:space="preserve">Total reported revenue</w:t>
            </w:r>
          </w:p>
        </w:tc>
        <w:tc>
          <w:tcPr/>
          <w:p>
            <w:pPr>
              <w:pStyle w:val="Compact"/>
              <w:jc w:val="right"/>
            </w:pPr>
            <m:oMath>
              <m:r>
                <m:t>1.616</m:t>
              </m:r>
              <m:r>
                <m:t>B</m:t>
              </m:r>
              <m:r>
                <m:rPr>
                  <m:sty m:val="p"/>
                </m:rPr>
                <m:t>–</m:t>
              </m:r>
            </m:oMath>
            <w:r>
              <w:rPr>
                <w:b/>
                <w:bCs/>
              </w:rPr>
              <w:t xml:space="preserve">1.631B</w:t>
            </w:r>
          </w:p>
        </w:tc>
      </w:tr>
      <w:tr>
        <w:tc>
          <w:tcPr/>
          <w:p>
            <w:pPr>
              <w:pStyle w:val="Compact"/>
            </w:pPr>
            <w:r>
              <w:t xml:space="preserve">Adjusted diluted EPS</w:t>
            </w:r>
          </w:p>
        </w:tc>
        <w:tc>
          <w:tcPr/>
          <w:p>
            <w:pPr>
              <w:pStyle w:val="Compact"/>
              <w:jc w:val="right"/>
            </w:pPr>
            <m:oMath>
              <m:r>
                <m:t>2.95</m:t>
              </m:r>
              <m:r>
                <m:rPr>
                  <m:sty m:val="p"/>
                </m:rPr>
                <m:t>–</m:t>
              </m:r>
            </m:oMath>
            <w:r>
              <w:rPr>
                <w:b/>
                <w:bCs/>
              </w:rPr>
              <w:t xml:space="preserve">3.05</w:t>
            </w:r>
          </w:p>
        </w:tc>
      </w:tr>
    </w:tbl>
    <w:p>
      <w:pPr>
        <w:pStyle w:val="BodyText"/>
      </w:pPr>
      <w:r>
        <w:t xml:space="preserve">The EPS range represents roughly flat to 3.4% growth, reflecting the full burden of the additional shares and interest expense associated with the transaction. Cost synergies were not expected to contribute materially until Q3.</w:t>
      </w:r>
    </w:p>
    <w:p>
      <w:pPr>
        <w:pStyle w:val="BodyText"/>
      </w:pPr>
      <w:r>
        <w:t xml:space="preserve">Full-year guidance entering the report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FY2026 guidance</w:t>
            </w:r>
          </w:p>
        </w:tc>
      </w:tr>
      <w:tr>
        <w:tc>
          <w:tcPr/>
          <w:p>
            <w:pPr>
              <w:pStyle w:val="Compact"/>
            </w:pPr>
            <w:r>
              <w:t xml:space="preserve">Legacy organic constant-currency growth</w:t>
            </w:r>
          </w:p>
        </w:tc>
        <w:tc>
          <w:tcPr/>
          <w:p>
            <w:pPr>
              <w:pStyle w:val="Compact"/>
              <w:jc w:val="right"/>
            </w:pPr>
            <w:r>
              <w:rPr>
                <w:b/>
                <w:bCs/>
              </w:rPr>
              <w:t xml:space="preserve">6.5%–8%</w:t>
            </w:r>
          </w:p>
        </w:tc>
      </w:tr>
      <w:tr>
        <w:tc>
          <w:tcPr/>
          <w:p>
            <w:pPr>
              <w:pStyle w:val="Compact"/>
            </w:pPr>
            <w:r>
              <w:t xml:space="preserve">Total reported revenue</w:t>
            </w:r>
          </w:p>
        </w:tc>
        <w:tc>
          <w:tcPr/>
          <w:p>
            <w:pPr>
              <w:pStyle w:val="Compact"/>
              <w:jc w:val="right"/>
            </w:pPr>
            <m:oMath>
              <m:r>
                <m:t>6.405</m:t>
              </m:r>
              <m:r>
                <m:t>B</m:t>
              </m:r>
              <m:r>
                <m:rPr>
                  <m:sty m:val="p"/>
                </m:rPr>
                <m:t>–</m:t>
              </m:r>
            </m:oMath>
            <w:r>
              <w:rPr>
                <w:b/>
                <w:bCs/>
              </w:rPr>
              <w:t xml:space="preserve">6.455B</w:t>
            </w:r>
          </w:p>
        </w:tc>
      </w:tr>
      <w:tr>
        <w:tc>
          <w:tcPr/>
          <w:p>
            <w:pPr>
              <w:pStyle w:val="Compact"/>
            </w:pPr>
            <w:r>
              <w:t xml:space="preserve">Acquired-business revenue</w:t>
            </w:r>
          </w:p>
        </w:tc>
        <w:tc>
          <w:tcPr/>
          <w:p>
            <w:pPr>
              <w:pStyle w:val="Compact"/>
              <w:jc w:val="right"/>
            </w:pPr>
            <w:r>
              <w:rPr>
                <w:b/>
                <w:bCs/>
              </w:rPr>
              <w:t xml:space="preserve">~$3.035B</w:t>
            </w:r>
          </w:p>
        </w:tc>
      </w:tr>
      <w:tr>
        <w:tc>
          <w:tcPr/>
          <w:p>
            <w:pPr>
              <w:pStyle w:val="Compact"/>
            </w:pPr>
            <w:r>
              <w:t xml:space="preserve">Adjusted EBIT margin</w:t>
            </w:r>
          </w:p>
        </w:tc>
        <w:tc>
          <w:tcPr/>
          <w:p>
            <w:pPr>
              <w:pStyle w:val="Compact"/>
              <w:jc w:val="right"/>
            </w:pPr>
            <w:r>
              <w:rPr>
                <w:b/>
                <w:bCs/>
              </w:rPr>
              <w:t xml:space="preserve">28.2%</w:t>
            </w:r>
          </w:p>
        </w:tc>
      </w:tr>
      <w:tr>
        <w:tc>
          <w:tcPr/>
          <w:p>
            <w:pPr>
              <w:pStyle w:val="Compact"/>
            </w:pPr>
            <w:r>
              <w:t xml:space="preserve">Adjusted diluted EPS</w:t>
            </w:r>
          </w:p>
        </w:tc>
        <w:tc>
          <w:tcPr/>
          <w:p>
            <w:pPr>
              <w:pStyle w:val="Compact"/>
              <w:jc w:val="right"/>
            </w:pPr>
            <m:oMath>
              <m:r>
                <m:t>14.40</m:t>
              </m:r>
              <m:r>
                <m:rPr>
                  <m:sty m:val="p"/>
                </m:rPr>
                <m:t>–</m:t>
              </m:r>
            </m:oMath>
            <w:r>
              <w:rPr>
                <w:b/>
                <w:bCs/>
              </w:rPr>
              <w:t xml:space="preserve">14.60</w:t>
            </w:r>
          </w:p>
        </w:tc>
      </w:tr>
      <w:tr>
        <w:tc>
          <w:tcPr/>
          <w:p>
            <w:pPr>
              <w:pStyle w:val="Compact"/>
            </w:pPr>
            <w:r>
              <w:t xml:space="preserve">Net interest expense</w:t>
            </w:r>
          </w:p>
        </w:tc>
        <w:tc>
          <w:tcPr/>
          <w:p>
            <w:pPr>
              <w:pStyle w:val="Compact"/>
              <w:jc w:val="right"/>
            </w:pPr>
            <w:r>
              <w:rPr>
                <w:b/>
                <w:bCs/>
              </w:rPr>
              <w:t xml:space="preserve">~$186M</w:t>
            </w:r>
          </w:p>
        </w:tc>
      </w:tr>
      <w:tr>
        <w:tc>
          <w:tcPr/>
          <w:p>
            <w:pPr>
              <w:pStyle w:val="Compact"/>
            </w:pPr>
            <w:r>
              <w:t xml:space="preserve">Adjusted tax rate</w:t>
            </w:r>
          </w:p>
        </w:tc>
        <w:tc>
          <w:tcPr/>
          <w:p>
            <w:pPr>
              <w:pStyle w:val="Compact"/>
              <w:jc w:val="right"/>
            </w:pPr>
            <w:r>
              <w:rPr>
                <w:b/>
                <w:bCs/>
              </w:rPr>
              <w:t xml:space="preserve">~16%</w:t>
            </w:r>
          </w:p>
        </w:tc>
      </w:tr>
    </w:tbl>
    <w:p>
      <w:pPr>
        <w:pStyle w:val="BodyText"/>
      </w:pPr>
      <w:r>
        <w:t xml:space="preserve">At the August 3 closing price of</w:t>
      </w:r>
      <w:r>
        <w:t xml:space="preserve"> </w:t>
      </w:r>
      <w:r>
        <w:rPr>
          <w:b/>
          <w:bCs/>
        </w:rPr>
        <w:t xml:space="preserve">$374.78</w:t>
      </w:r>
      <w:r>
        <w:t xml:space="preserve">, WAT trades at approximately</w:t>
      </w:r>
      <w:r>
        <w:t xml:space="preserve"> </w:t>
      </w:r>
      <w:r>
        <w:rPr>
          <w:b/>
          <w:bCs/>
        </w:rPr>
        <w:t xml:space="preserve">25.8 times</w:t>
      </w:r>
      <w:r>
        <w:t xml:space="preserve"> </w:t>
      </w:r>
      <w:r>
        <w:t xml:space="preserve">the midpoint of adjusted EPS guidance. That valuation leaves room for upside if management raises its outlook, but it also raises the cost of any evidence that the Q1 acceleration is fading.</w:t>
      </w:r>
    </w:p>
    <w:p>
      <w:r>
        <w:pict>
          <v:rect style="width:0;height:1.5pt" o:hralign="center" o:hrstd="t" o:hr="t"/>
        </w:pict>
      </w:r>
    </w:p>
    <w:bookmarkEnd w:id="10"/>
    <w:bookmarkStart w:id="12" w:name="X2cec63967e8324274402bd1ab4610fe21967479"/>
    <w:p>
      <w:pPr>
        <w:pStyle w:val="Heading2"/>
      </w:pPr>
      <w:r>
        <w:t xml:space="preserve">1. Legacy Waters: strong underlying demand, but Q1 is a difficult comparison</w:t>
      </w:r>
    </w:p>
    <w:p>
      <w:pPr>
        <w:pStyle w:val="FirstParagraph"/>
      </w:pPr>
      <w:r>
        <w:t xml:space="preserve">Legacy Waters generated $747 million in Q1 revenue, up</w:t>
      </w:r>
      <w:r>
        <w:t xml:space="preserve"> </w:t>
      </w:r>
      <w:r>
        <w:rPr>
          <w:b/>
          <w:bCs/>
        </w:rPr>
        <w:t xml:space="preserve">11% organically in constant currency</w:t>
      </w:r>
      <w:r>
        <w:t xml:space="preserve">. Analytical Sciences grew 12%, including:</w:t>
      </w:r>
    </w:p>
    <w:p>
      <w:pPr>
        <w:pStyle w:val="Compact"/>
        <w:numPr>
          <w:ilvl w:val="0"/>
          <w:numId w:val="1002"/>
        </w:numPr>
      </w:pPr>
      <w:r>
        <w:t xml:space="preserve">Instruments:</w:t>
      </w:r>
      <w:r>
        <w:t xml:space="preserve"> </w:t>
      </w:r>
      <w:r>
        <w:rPr>
          <w:b/>
          <w:bCs/>
        </w:rPr>
        <w:t xml:space="preserve">+8%</w:t>
      </w:r>
    </w:p>
    <w:p>
      <w:pPr>
        <w:pStyle w:val="Compact"/>
        <w:numPr>
          <w:ilvl w:val="0"/>
          <w:numId w:val="1002"/>
        </w:numPr>
      </w:pPr>
      <w:r>
        <w:t xml:space="preserve">Chemistry:</w:t>
      </w:r>
      <w:r>
        <w:t xml:space="preserve"> </w:t>
      </w:r>
      <w:r>
        <w:rPr>
          <w:b/>
          <w:bCs/>
        </w:rPr>
        <w:t xml:space="preserve">+13%</w:t>
      </w:r>
    </w:p>
    <w:p>
      <w:pPr>
        <w:pStyle w:val="Compact"/>
        <w:numPr>
          <w:ilvl w:val="0"/>
          <w:numId w:val="1002"/>
        </w:numPr>
      </w:pPr>
      <w:r>
        <w:t xml:space="preserve">Service:</w:t>
      </w:r>
      <w:r>
        <w:t xml:space="preserve"> </w:t>
      </w:r>
      <w:r>
        <w:rPr>
          <w:b/>
          <w:bCs/>
        </w:rPr>
        <w:t xml:space="preserve">+14%</w:t>
      </w:r>
    </w:p>
    <w:p>
      <w:pPr>
        <w:pStyle w:val="Compact"/>
        <w:numPr>
          <w:ilvl w:val="0"/>
          <w:numId w:val="1002"/>
        </w:numPr>
      </w:pPr>
      <w:r>
        <w:t xml:space="preserve">Pharma end market:</w:t>
      </w:r>
      <w:r>
        <w:t xml:space="preserve"> </w:t>
      </w:r>
      <w:r>
        <w:rPr>
          <w:b/>
          <w:bCs/>
        </w:rPr>
        <w:t xml:space="preserve">+14%</w:t>
      </w:r>
    </w:p>
    <w:p>
      <w:pPr>
        <w:pStyle w:val="Compact"/>
        <w:numPr>
          <w:ilvl w:val="0"/>
          <w:numId w:val="1002"/>
        </w:numPr>
      </w:pPr>
      <w:r>
        <w:t xml:space="preserve">Academic and government:</w:t>
      </w:r>
      <w:r>
        <w:t xml:space="preserve"> </w:t>
      </w:r>
      <w:r>
        <w:rPr>
          <w:b/>
          <w:bCs/>
        </w:rPr>
        <w:t xml:space="preserve">+18%</w:t>
      </w:r>
    </w:p>
    <w:p>
      <w:pPr>
        <w:pStyle w:val="Compact"/>
        <w:numPr>
          <w:ilvl w:val="0"/>
          <w:numId w:val="1002"/>
        </w:numPr>
      </w:pPr>
      <w:r>
        <w:t xml:space="preserve">Industrial:</w:t>
      </w:r>
      <w:r>
        <w:t xml:space="preserve"> </w:t>
      </w:r>
      <w:r>
        <w:rPr>
          <w:b/>
          <w:bCs/>
        </w:rPr>
        <w:t xml:space="preserve">+3%</w:t>
      </w:r>
    </w:p>
    <w:p>
      <w:pPr>
        <w:pStyle w:val="FirstParagraph"/>
      </w:pPr>
      <w:r>
        <w:t xml:space="preserve">The quality of that performance was generally high. LC-MS replacement demand remained strong, chemistry benefited from MaxPeak Premier and bioseparations products, and service growth reflected increased service-plan attachment.</w:t>
      </w:r>
    </w:p>
    <w:p>
      <w:pPr>
        <w:pStyle w:val="BodyText"/>
      </w:pPr>
      <w:r>
        <w:t xml:space="preserve">However, Q1 contained approximately four additional working days. Management estimated that this added roughly four percentage points to recurring-revenue growth and about two points to total legacy growth. Q2 also faces a difficult chemistry comparison, including some prior-year pull-forward.</w:t>
      </w:r>
    </w:p>
    <w:bookmarkStart w:id="11" w:name="what-investors-should-watch"/>
    <w:p>
      <w:pPr>
        <w:pStyle w:val="Heading3"/>
      </w:pPr>
      <w:r>
        <w:t xml:space="preserve">What investors should watch</w:t>
      </w:r>
    </w:p>
    <w:p>
      <w:pPr>
        <w:pStyle w:val="Compact"/>
        <w:numPr>
          <w:ilvl w:val="0"/>
          <w:numId w:val="1003"/>
        </w:numPr>
      </w:pPr>
      <w:r>
        <w:rPr>
          <w:b/>
          <w:bCs/>
        </w:rPr>
        <w:t xml:space="preserve">Organic growth relative to the 6%–8% range.</w:t>
      </w:r>
      <w:r>
        <w:t xml:space="preserve"> </w:t>
      </w:r>
      <w:r>
        <w:t xml:space="preserve">Growth near or above 8% would suggest the core franchise remains materially above its historical trajectory.</w:t>
      </w:r>
    </w:p>
    <w:p>
      <w:pPr>
        <w:pStyle w:val="Compact"/>
        <w:numPr>
          <w:ilvl w:val="0"/>
          <w:numId w:val="1003"/>
        </w:numPr>
      </w:pPr>
      <w:r>
        <w:rPr>
          <w:b/>
          <w:bCs/>
        </w:rPr>
        <w:t xml:space="preserve">Orders versus revenue.</w:t>
      </w:r>
      <w:r>
        <w:t xml:space="preserve"> </w:t>
      </w:r>
      <w:r>
        <w:t xml:space="preserve">Management said orders again exceeded sales in Q1. Confirmation that this continued would support the second-half outlook.</w:t>
      </w:r>
    </w:p>
    <w:p>
      <w:pPr>
        <w:pStyle w:val="Compact"/>
        <w:numPr>
          <w:ilvl w:val="0"/>
          <w:numId w:val="1003"/>
        </w:numPr>
      </w:pPr>
      <w:r>
        <w:rPr>
          <w:b/>
          <w:bCs/>
        </w:rPr>
        <w:t xml:space="preserve">Instrument replacement.</w:t>
      </w:r>
      <w:r>
        <w:t xml:space="preserve"> </w:t>
      </w:r>
      <w:r>
        <w:t xml:space="preserve">Waters believes the replacement cycle can extend through 2027, with CROs, Chinese branded-generic companies and some biotech customers yet to replace older fleets.</w:t>
      </w:r>
    </w:p>
    <w:p>
      <w:pPr>
        <w:pStyle w:val="Compact"/>
        <w:numPr>
          <w:ilvl w:val="0"/>
          <w:numId w:val="1003"/>
        </w:numPr>
      </w:pPr>
      <w:r>
        <w:rPr>
          <w:b/>
          <w:bCs/>
        </w:rPr>
        <w:t xml:space="preserve">Chemistry durability.</w:t>
      </w:r>
      <w:r>
        <w:t xml:space="preserve"> </w:t>
      </w:r>
      <w:r>
        <w:t xml:space="preserve">Management indicated that chemistry may be capable of 9%–10% medium-term growth, although FY2026 guidance was set more conservatively at approximately 6.5%.</w:t>
      </w:r>
    </w:p>
    <w:p>
      <w:pPr>
        <w:pStyle w:val="Compact"/>
        <w:numPr>
          <w:ilvl w:val="0"/>
          <w:numId w:val="1003"/>
        </w:numPr>
      </w:pPr>
      <w:r>
        <w:rPr>
          <w:b/>
          <w:bCs/>
        </w:rPr>
        <w:t xml:space="preserve">Service attachment and pricing.</w:t>
      </w:r>
      <w:r>
        <w:t xml:space="preserve"> </w:t>
      </w:r>
      <w:r>
        <w:t xml:space="preserve">Legacy Waters realized a little over 200 basis points of price in Q1. Investors will want to see price remain healthy without hurting volume.</w:t>
      </w:r>
    </w:p>
    <w:p>
      <w:pPr>
        <w:pStyle w:val="FirstParagraph"/>
      </w:pPr>
      <w:r>
        <w:t xml:space="preserve">A high-single-digit core result with balanced instrument and recurring growth would be more compelling than a beat driven primarily by large instrument shipments.</w:t>
      </w:r>
    </w:p>
    <w:p>
      <w:r>
        <w:pict>
          <v:rect style="width:0;height:1.5pt" o:hralign="center" o:hrstd="t" o:hr="t"/>
        </w:pict>
      </w:r>
    </w:p>
    <w:bookmarkEnd w:id="11"/>
    <w:bookmarkEnd w:id="12"/>
    <w:bookmarkStart w:id="16" w:name="X994b0675babab7b805089026c26d767ef87b116"/>
    <w:p>
      <w:pPr>
        <w:pStyle w:val="Heading2"/>
      </w:pPr>
      <w:r>
        <w:t xml:space="preserve">2. The acquired businesses need to show continued sequential improvement</w:t>
      </w:r>
    </w:p>
    <w:p>
      <w:pPr>
        <w:pStyle w:val="FirstParagraph"/>
      </w:pPr>
      <w:r>
        <w:t xml:space="preserve">The acquired operations produced $520 million during Waters’ Q1 ownership period and exceeded guidance by $40 million. On a full-quarter pro forma basis, the businesses were flat year over year, a major improvement from their Q4 decline. Excluding a $20 million respiratory-testing headwind, pro forma growth was approximately 3%.</w:t>
      </w:r>
    </w:p>
    <w:bookmarkStart w:id="13" w:name="biosciences"/>
    <w:p>
      <w:pPr>
        <w:pStyle w:val="Heading3"/>
      </w:pPr>
      <w:r>
        <w:t xml:space="preserve">Biosciences</w:t>
      </w:r>
    </w:p>
    <w:p>
      <w:pPr>
        <w:pStyle w:val="FirstParagraph"/>
      </w:pPr>
      <w:r>
        <w:t xml:space="preserve">Q1 revenue during Waters’ ownership period was $232 million, with estimated growth of 7%. On a full-quarter pro forma basis:</w:t>
      </w:r>
    </w:p>
    <w:p>
      <w:pPr>
        <w:pStyle w:val="Compact"/>
        <w:numPr>
          <w:ilvl w:val="0"/>
          <w:numId w:val="1004"/>
        </w:numPr>
      </w:pPr>
      <w:r>
        <w:t xml:space="preserve">Biosciences declined</w:t>
      </w:r>
      <w:r>
        <w:t xml:space="preserve"> </w:t>
      </w:r>
      <w:r>
        <w:rPr>
          <w:b/>
          <w:bCs/>
        </w:rPr>
        <w:t xml:space="preserve">1%</w:t>
      </w:r>
    </w:p>
    <w:p>
      <w:pPr>
        <w:pStyle w:val="Compact"/>
        <w:numPr>
          <w:ilvl w:val="0"/>
          <w:numId w:val="1004"/>
        </w:numPr>
      </w:pPr>
      <w:r>
        <w:t xml:space="preserve">Excluding China, it grew</w:t>
      </w:r>
      <w:r>
        <w:t xml:space="preserve"> </w:t>
      </w:r>
      <w:r>
        <w:rPr>
          <w:b/>
          <w:bCs/>
        </w:rPr>
        <w:t xml:space="preserve">4%</w:t>
      </w:r>
    </w:p>
    <w:p>
      <w:pPr>
        <w:pStyle w:val="Compact"/>
        <w:numPr>
          <w:ilvl w:val="0"/>
          <w:numId w:val="1004"/>
        </w:numPr>
      </w:pPr>
      <w:r>
        <w:t xml:space="preserve">Reagents grew low double digits</w:t>
      </w:r>
    </w:p>
    <w:p>
      <w:pPr>
        <w:pStyle w:val="Compact"/>
        <w:numPr>
          <w:ilvl w:val="0"/>
          <w:numId w:val="1004"/>
        </w:numPr>
      </w:pPr>
      <w:r>
        <w:t xml:space="preserve">Instruments remained pressured</w:t>
      </w:r>
    </w:p>
    <w:p>
      <w:pPr>
        <w:pStyle w:val="Compact"/>
        <w:numPr>
          <w:ilvl w:val="0"/>
          <w:numId w:val="1004"/>
        </w:numPr>
      </w:pPr>
      <w:r>
        <w:t xml:space="preserve">Flow clinical ex-China grew 13%</w:t>
      </w:r>
    </w:p>
    <w:p>
      <w:pPr>
        <w:pStyle w:val="Compact"/>
        <w:numPr>
          <w:ilvl w:val="0"/>
          <w:numId w:val="1004"/>
        </w:numPr>
      </w:pPr>
      <w:r>
        <w:t xml:space="preserve">Flow clinical in China declined 25%</w:t>
      </w:r>
    </w:p>
    <w:p>
      <w:pPr>
        <w:pStyle w:val="FirstParagraph"/>
      </w:pPr>
      <w:r>
        <w:t xml:space="preserve">The Q2 question is whether better sales execution and reagent momentum can offset continued pressure in academic instruments and China.</w:t>
      </w:r>
    </w:p>
    <w:bookmarkEnd w:id="13"/>
    <w:bookmarkStart w:id="14" w:name="advanced-diagnostics"/>
    <w:p>
      <w:pPr>
        <w:pStyle w:val="Heading3"/>
      </w:pPr>
      <w:r>
        <w:t xml:space="preserve">Advanced Diagnostics</w:t>
      </w:r>
    </w:p>
    <w:p>
      <w:pPr>
        <w:pStyle w:val="FirstParagraph"/>
      </w:pPr>
      <w:r>
        <w:t xml:space="preserve">The acquired Diagnostic Solutions business contributed $288 million during the owned period. On a full-quarter pro forma basis:</w:t>
      </w:r>
    </w:p>
    <w:p>
      <w:pPr>
        <w:pStyle w:val="Compact"/>
        <w:numPr>
          <w:ilvl w:val="0"/>
          <w:numId w:val="1005"/>
        </w:numPr>
      </w:pPr>
      <w:r>
        <w:t xml:space="preserve">Diagnostic Solutions grew</w:t>
      </w:r>
      <w:r>
        <w:t xml:space="preserve"> </w:t>
      </w:r>
      <w:r>
        <w:rPr>
          <w:b/>
          <w:bCs/>
        </w:rPr>
        <w:t xml:space="preserve">1%</w:t>
      </w:r>
    </w:p>
    <w:p>
      <w:pPr>
        <w:pStyle w:val="Compact"/>
        <w:numPr>
          <w:ilvl w:val="0"/>
          <w:numId w:val="1005"/>
        </w:numPr>
      </w:pPr>
      <w:r>
        <w:t xml:space="preserve">Excluding respiratory-testing weakness, growth was</w:t>
      </w:r>
      <w:r>
        <w:t xml:space="preserve"> </w:t>
      </w:r>
      <w:r>
        <w:rPr>
          <w:b/>
          <w:bCs/>
        </w:rPr>
        <w:t xml:space="preserve">6%</w:t>
      </w:r>
    </w:p>
    <w:p>
      <w:pPr>
        <w:pStyle w:val="Compact"/>
        <w:numPr>
          <w:ilvl w:val="0"/>
          <w:numId w:val="1005"/>
        </w:numPr>
      </w:pPr>
      <w:r>
        <w:t xml:space="preserve">Microbiology grew</w:t>
      </w:r>
      <w:r>
        <w:t xml:space="preserve"> </w:t>
      </w:r>
      <w:r>
        <w:rPr>
          <w:b/>
          <w:bCs/>
        </w:rPr>
        <w:t xml:space="preserve">5%</w:t>
      </w:r>
    </w:p>
    <w:p>
      <w:pPr>
        <w:pStyle w:val="Compact"/>
        <w:numPr>
          <w:ilvl w:val="0"/>
          <w:numId w:val="1005"/>
        </w:numPr>
      </w:pPr>
      <w:r>
        <w:t xml:space="preserve">China remained pressured by diagnosis-related-group reimbursement changes</w:t>
      </w:r>
    </w:p>
    <w:p>
      <w:pPr>
        <w:pStyle w:val="FirstParagraph"/>
      </w:pPr>
      <w:r>
        <w:t xml:space="preserve">The respiratory headwind was not expected to recur, while China comparisons should improve in the second half. That creates a favorable setup—but also makes progress increasingly necessary rather than optional.</w:t>
      </w:r>
    </w:p>
    <w:bookmarkEnd w:id="14"/>
    <w:bookmarkStart w:id="15" w:name="the-key-hurdle"/>
    <w:p>
      <w:pPr>
        <w:pStyle w:val="Heading3"/>
      </w:pPr>
      <w:r>
        <w:t xml:space="preserve">The key hurdle</w:t>
      </w:r>
    </w:p>
    <w:p>
      <w:pPr>
        <w:pStyle w:val="FirstParagraph"/>
      </w:pPr>
      <w:r>
        <w:t xml:space="preserve">Management guided the acquired businesses to approximately</w:t>
      </w:r>
      <w:r>
        <w:t xml:space="preserve"> </w:t>
      </w:r>
      <w:r>
        <w:rPr>
          <w:b/>
          <w:bCs/>
        </w:rPr>
        <w:t xml:space="preserve">$802 million of Q2 revenue and 2.5% growth</w:t>
      </w:r>
      <w:r>
        <w:t xml:space="preserve">. Investors should distinguish between:</w:t>
      </w:r>
    </w:p>
    <w:p>
      <w:pPr>
        <w:pStyle w:val="Compact"/>
        <w:numPr>
          <w:ilvl w:val="0"/>
          <w:numId w:val="1006"/>
        </w:numPr>
      </w:pPr>
      <w:r>
        <w:t xml:space="preserve">Improvement from stronger commercial execution and recurring demand; and</w:t>
      </w:r>
    </w:p>
    <w:p>
      <w:pPr>
        <w:pStyle w:val="Compact"/>
        <w:numPr>
          <w:ilvl w:val="0"/>
          <w:numId w:val="1006"/>
        </w:numPr>
      </w:pPr>
      <w:r>
        <w:t xml:space="preserve">Improvement caused by favorable comparisons, extra selling activity around the transition or shipment timing.</w:t>
      </w:r>
    </w:p>
    <w:p>
      <w:pPr>
        <w:pStyle w:val="FirstParagraph"/>
      </w:pPr>
      <w:r>
        <w:t xml:space="preserve">A result above $802 million, accompanied by stronger funnels and stable or better full-year assumptions, would validate the early turnaround. A shortfall would raise doubts about whether Q1’s $40 million beat was repeatable.</w:t>
      </w:r>
    </w:p>
    <w:p>
      <w:r>
        <w:pict>
          <v:rect style="width:0;height:1.5pt" o:hralign="center" o:hrstd="t" o:hr="t"/>
        </w:pict>
      </w:r>
    </w:p>
    <w:bookmarkEnd w:id="15"/>
    <w:bookmarkEnd w:id="16"/>
    <w:bookmarkStart w:id="19" w:name="X2bd54c318b59d040f47c1e48dcf5c5bd0b99b86"/>
    <w:p>
      <w:pPr>
        <w:pStyle w:val="Heading2"/>
      </w:pPr>
      <w:r>
        <w:t xml:space="preserve">3. Synergy execution moves from narrative to financial delivery</w:t>
      </w:r>
    </w:p>
    <w:p>
      <w:pPr>
        <w:pStyle w:val="FirstParagraph"/>
      </w:pPr>
      <w:r>
        <w:t xml:space="preserve">Waters entered Q2 targeting:</w:t>
      </w:r>
    </w:p>
    <w:p>
      <w:pPr>
        <w:pStyle w:val="Compact"/>
        <w:numPr>
          <w:ilvl w:val="0"/>
          <w:numId w:val="1007"/>
        </w:numPr>
      </w:pPr>
      <w:r>
        <w:rPr>
          <w:b/>
          <w:bCs/>
        </w:rPr>
        <w:t xml:space="preserve">$50 million of FY2026 revenue synergies</w:t>
      </w:r>
    </w:p>
    <w:p>
      <w:pPr>
        <w:pStyle w:val="Compact"/>
        <w:numPr>
          <w:ilvl w:val="1"/>
          <w:numId w:val="1008"/>
        </w:numPr>
      </w:pPr>
      <w:r>
        <w:t xml:space="preserve">$15 million within legacy organic growth</w:t>
      </w:r>
    </w:p>
    <w:p>
      <w:pPr>
        <w:pStyle w:val="Compact"/>
        <w:numPr>
          <w:ilvl w:val="1"/>
          <w:numId w:val="1008"/>
        </w:numPr>
      </w:pPr>
      <w:r>
        <w:t xml:space="preserve">$35 million within the acquired businesses</w:t>
      </w:r>
    </w:p>
    <w:p>
      <w:pPr>
        <w:pStyle w:val="Compact"/>
        <w:numPr>
          <w:ilvl w:val="0"/>
          <w:numId w:val="1007"/>
        </w:numPr>
      </w:pPr>
      <w:r>
        <w:rPr>
          <w:b/>
          <w:bCs/>
        </w:rPr>
        <w:t xml:space="preserve">$55 million of FY2026 cost synergies</w:t>
      </w:r>
    </w:p>
    <w:p>
      <w:pPr>
        <w:pStyle w:val="FirstParagraph"/>
      </w:pPr>
      <w:r>
        <w:t xml:space="preserve">The company expected restructuring savings to begin benefiting the income statement in Q3. This quarter’s call should therefore provide the last major operational checkpoint before those savings become visible.</w:t>
      </w:r>
    </w:p>
    <w:bookmarkStart w:id="17" w:name="revenue-synergy-levers"/>
    <w:p>
      <w:pPr>
        <w:pStyle w:val="Heading3"/>
      </w:pPr>
      <w:r>
        <w:t xml:space="preserve">Revenue-synergy levers</w:t>
      </w:r>
    </w:p>
    <w:p>
      <w:pPr>
        <w:pStyle w:val="FirstParagraph"/>
      </w:pPr>
      <w:r>
        <w:t xml:space="preserve">Management has highlighted:</w:t>
      </w:r>
    </w:p>
    <w:p>
      <w:pPr>
        <w:pStyle w:val="Compact"/>
        <w:numPr>
          <w:ilvl w:val="0"/>
          <w:numId w:val="1009"/>
        </w:numPr>
      </w:pPr>
      <w:r>
        <w:t xml:space="preserve">Cross-selling Waters mass spectrometry through the Biosciences channel</w:t>
      </w:r>
    </w:p>
    <w:p>
      <w:pPr>
        <w:pStyle w:val="Compact"/>
        <w:numPr>
          <w:ilvl w:val="0"/>
          <w:numId w:val="1009"/>
        </w:numPr>
      </w:pPr>
      <w:r>
        <w:t xml:space="preserve">Replacement of aging diagnostic instruments</w:t>
      </w:r>
    </w:p>
    <w:p>
      <w:pPr>
        <w:pStyle w:val="Compact"/>
        <w:numPr>
          <w:ilvl w:val="0"/>
          <w:numId w:val="1009"/>
        </w:numPr>
      </w:pPr>
      <w:r>
        <w:t xml:space="preserve">Higher service-plan attachment</w:t>
      </w:r>
    </w:p>
    <w:p>
      <w:pPr>
        <w:pStyle w:val="Compact"/>
        <w:numPr>
          <w:ilvl w:val="0"/>
          <w:numId w:val="1009"/>
        </w:numPr>
      </w:pPr>
      <w:r>
        <w:t xml:space="preserve">E-commerce adoption</w:t>
      </w:r>
    </w:p>
    <w:p>
      <w:pPr>
        <w:pStyle w:val="Compact"/>
        <w:numPr>
          <w:ilvl w:val="0"/>
          <w:numId w:val="1009"/>
        </w:numPr>
      </w:pPr>
      <w:r>
        <w:t xml:space="preserve">Improved pricing</w:t>
      </w:r>
    </w:p>
    <w:p>
      <w:pPr>
        <w:pStyle w:val="Compact"/>
        <w:numPr>
          <w:ilvl w:val="0"/>
          <w:numId w:val="1009"/>
        </w:numPr>
      </w:pPr>
      <w:r>
        <w:t xml:space="preserve">Better enforcement of reagent-rental contracts</w:t>
      </w:r>
    </w:p>
    <w:p>
      <w:pPr>
        <w:pStyle w:val="FirstParagraph"/>
      </w:pPr>
      <w:r>
        <w:t xml:space="preserve">Notably, management said incremental pricing benefits and improved reagent-rental contract compliance were</w:t>
      </w:r>
      <w:r>
        <w:t xml:space="preserve"> </w:t>
      </w:r>
      <w:r>
        <w:rPr>
          <w:b/>
          <w:bCs/>
        </w:rPr>
        <w:t xml:space="preserve">not embedded</w:t>
      </w:r>
      <w:r>
        <w:t xml:space="preserve"> </w:t>
      </w:r>
      <w:r>
        <w:t xml:space="preserve">in guidance. An initial review found roughly 700 of 1,600 U.S. Diagnostic Solutions contracts out of compliance, representing a double-digit-million-dollar annual opportunity.</w:t>
      </w:r>
    </w:p>
    <w:bookmarkEnd w:id="17"/>
    <w:bookmarkStart w:id="18" w:name="what-would-be-encouraging"/>
    <w:p>
      <w:pPr>
        <w:pStyle w:val="Heading3"/>
      </w:pPr>
      <w:r>
        <w:t xml:space="preserve">What would be encouraging</w:t>
      </w:r>
    </w:p>
    <w:p>
      <w:pPr>
        <w:pStyle w:val="Compact"/>
        <w:numPr>
          <w:ilvl w:val="0"/>
          <w:numId w:val="1010"/>
        </w:numPr>
      </w:pPr>
      <w:r>
        <w:t xml:space="preserve">Full reaffirmation—or acceleration—of the $50 million revenue target</w:t>
      </w:r>
    </w:p>
    <w:p>
      <w:pPr>
        <w:pStyle w:val="Compact"/>
        <w:numPr>
          <w:ilvl w:val="0"/>
          <w:numId w:val="1010"/>
        </w:numPr>
      </w:pPr>
      <w:r>
        <w:t xml:space="preserve">Clear evidence that the $55 million cost program is entering the P&amp;L on schedule</w:t>
      </w:r>
    </w:p>
    <w:p>
      <w:pPr>
        <w:pStyle w:val="Compact"/>
        <w:numPr>
          <w:ilvl w:val="0"/>
          <w:numId w:val="1010"/>
        </w:numPr>
      </w:pPr>
      <w:r>
        <w:t xml:space="preserve">Specific Q3 and Q4 margin cadence</w:t>
      </w:r>
    </w:p>
    <w:p>
      <w:pPr>
        <w:pStyle w:val="Compact"/>
        <w:numPr>
          <w:ilvl w:val="0"/>
          <w:numId w:val="1010"/>
        </w:numPr>
      </w:pPr>
      <w:r>
        <w:t xml:space="preserve">Measurable cross-selling, pricing or service-attachment results</w:t>
      </w:r>
    </w:p>
    <w:p>
      <w:pPr>
        <w:pStyle w:val="Compact"/>
        <w:numPr>
          <w:ilvl w:val="0"/>
          <w:numId w:val="1010"/>
        </w:numPr>
      </w:pPr>
      <w:r>
        <w:t xml:space="preserve">Confirmation that integration is not disrupting customers, product availability or employee retention</w:t>
      </w:r>
    </w:p>
    <w:p>
      <w:pPr>
        <w:pStyle w:val="FirstParagraph"/>
      </w:pPr>
      <w:r>
        <w:t xml:space="preserve">Investors should be wary if management discusses activity metrics but provides little evidence of revenue conversion or realized savings.</w:t>
      </w:r>
    </w:p>
    <w:p>
      <w:r>
        <w:pict>
          <v:rect style="width:0;height:1.5pt" o:hralign="center" o:hrstd="t" o:hr="t"/>
        </w:pict>
      </w:r>
    </w:p>
    <w:bookmarkEnd w:id="18"/>
    <w:bookmarkEnd w:id="19"/>
    <w:bookmarkStart w:id="23" w:name="X88089452f03e825ac63cb25de332e9a9f4b4489"/>
    <w:p>
      <w:pPr>
        <w:pStyle w:val="Heading2"/>
      </w:pPr>
      <w:r>
        <w:t xml:space="preserve">4. Product launches and China localization are important second-half catalysts</w:t>
      </w:r>
    </w:p>
    <w:p>
      <w:pPr>
        <w:pStyle w:val="FirstParagraph"/>
      </w:pPr>
      <w:r>
        <w:t xml:space="preserve">Several product initiatives could influence the trajectory beyond Q2.</w:t>
      </w:r>
    </w:p>
    <w:bookmarkStart w:id="20" w:name="bactec-fxi"/>
    <w:p>
      <w:pPr>
        <w:pStyle w:val="Heading3"/>
      </w:pPr>
      <w:r>
        <w:t xml:space="preserve">BACTEC FXI</w:t>
      </w:r>
    </w:p>
    <w:p>
      <w:pPr>
        <w:pStyle w:val="FirstParagraph"/>
      </w:pPr>
      <w:r>
        <w:t xml:space="preserve">The next-generation blood-culture platform received European CE marking ahead of schedule. Waters identified approximately 12,000 BACTEC systems potentially ripe for replacement; more than half are over five years old and more than one-quarter are over ten years old.</w:t>
      </w:r>
    </w:p>
    <w:p>
      <w:pPr>
        <w:pStyle w:val="BodyText"/>
      </w:pPr>
      <w:r>
        <w:t xml:space="preserve">The call should clarify:</w:t>
      </w:r>
    </w:p>
    <w:p>
      <w:pPr>
        <w:pStyle w:val="Compact"/>
        <w:numPr>
          <w:ilvl w:val="0"/>
          <w:numId w:val="1011"/>
        </w:numPr>
      </w:pPr>
      <w:r>
        <w:t xml:space="preserve">Initial European and Japanese reception</w:t>
      </w:r>
    </w:p>
    <w:p>
      <w:pPr>
        <w:pStyle w:val="Compact"/>
        <w:numPr>
          <w:ilvl w:val="0"/>
          <w:numId w:val="1011"/>
        </w:numPr>
      </w:pPr>
      <w:r>
        <w:t xml:space="preserve">U.S. regulatory timing</w:t>
      </w:r>
    </w:p>
    <w:p>
      <w:pPr>
        <w:pStyle w:val="Compact"/>
        <w:numPr>
          <w:ilvl w:val="0"/>
          <w:numId w:val="1011"/>
        </w:numPr>
      </w:pPr>
      <w:r>
        <w:t xml:space="preserve">Placement versus reagent-revenue economics</w:t>
      </w:r>
    </w:p>
    <w:p>
      <w:pPr>
        <w:pStyle w:val="Compact"/>
        <w:numPr>
          <w:ilvl w:val="0"/>
          <w:numId w:val="1011"/>
        </w:numPr>
      </w:pPr>
      <w:r>
        <w:t xml:space="preserve">Whether the launch will contribute materially in Q3 or is primarily a 2027 driver</w:t>
      </w:r>
    </w:p>
    <w:bookmarkEnd w:id="20"/>
    <w:bookmarkStart w:id="21" w:name="flow-cytometry-localization-in-china"/>
    <w:p>
      <w:pPr>
        <w:pStyle w:val="Heading3"/>
      </w:pPr>
      <w:r>
        <w:t xml:space="preserve">Flow cytometry localization in China</w:t>
      </w:r>
    </w:p>
    <w:p>
      <w:pPr>
        <w:pStyle w:val="FirstParagraph"/>
      </w:pPr>
      <w:r>
        <w:t xml:space="preserve">Waters planned to begin local manufacturing of key flow products in China during Q3. This is intended to improve tender access and reduce export complexity.</w:t>
      </w:r>
    </w:p>
    <w:p>
      <w:pPr>
        <w:pStyle w:val="BodyText"/>
      </w:pPr>
      <w:r>
        <w:t xml:space="preserve">That initiative matters because the company experienced a stark divergence in Q1:</w:t>
      </w:r>
    </w:p>
    <w:p>
      <w:pPr>
        <w:pStyle w:val="Compact"/>
        <w:numPr>
          <w:ilvl w:val="0"/>
          <w:numId w:val="1012"/>
        </w:numPr>
      </w:pPr>
      <w:r>
        <w:t xml:space="preserve">Legacy Waters’ China pharma business grew more than 50%</w:t>
      </w:r>
    </w:p>
    <w:p>
      <w:pPr>
        <w:pStyle w:val="Compact"/>
        <w:numPr>
          <w:ilvl w:val="0"/>
          <w:numId w:val="1012"/>
        </w:numPr>
      </w:pPr>
      <w:r>
        <w:t xml:space="preserve">Acquired flow and diagnostics operations remained sharply pressured in China</w:t>
      </w:r>
    </w:p>
    <w:p>
      <w:pPr>
        <w:pStyle w:val="FirstParagraph"/>
      </w:pPr>
      <w:r>
        <w:t xml:space="preserve">The most useful update would include order activity, tender qualification and a realistic revenue-contribution timetable—not merely confirmation that localization remains on schedule.</w:t>
      </w:r>
    </w:p>
    <w:bookmarkEnd w:id="21"/>
    <w:bookmarkStart w:id="22" w:name="other-launches"/>
    <w:p>
      <w:pPr>
        <w:pStyle w:val="Heading3"/>
      </w:pPr>
      <w:r>
        <w:t xml:space="preserve">Other launches</w:t>
      </w:r>
    </w:p>
    <w:p>
      <w:pPr>
        <w:pStyle w:val="FirstParagraph"/>
      </w:pPr>
      <w:r>
        <w:t xml:space="preserve">Investors should also listen for adoption commentary around:</w:t>
      </w:r>
    </w:p>
    <w:p>
      <w:pPr>
        <w:pStyle w:val="Compact"/>
        <w:numPr>
          <w:ilvl w:val="0"/>
          <w:numId w:val="1013"/>
        </w:numPr>
      </w:pPr>
      <w:r>
        <w:t xml:space="preserve">FACSDiscover systems</w:t>
      </w:r>
    </w:p>
    <w:p>
      <w:pPr>
        <w:pStyle w:val="Compact"/>
        <w:numPr>
          <w:ilvl w:val="0"/>
          <w:numId w:val="1013"/>
        </w:numPr>
      </w:pPr>
      <w:r>
        <w:t xml:space="preserve">Onclarity HPV at-home self-collection</w:t>
      </w:r>
    </w:p>
    <w:p>
      <w:pPr>
        <w:pStyle w:val="Compact"/>
        <w:numPr>
          <w:ilvl w:val="0"/>
          <w:numId w:val="1013"/>
        </w:numPr>
      </w:pPr>
      <w:r>
        <w:t xml:space="preserve">OmniDAWN light-scattering detection</w:t>
      </w:r>
    </w:p>
    <w:p>
      <w:pPr>
        <w:pStyle w:val="Compact"/>
        <w:numPr>
          <w:ilvl w:val="0"/>
          <w:numId w:val="1013"/>
        </w:numPr>
      </w:pPr>
      <w:r>
        <w:t xml:space="preserve">Microflow LC chemistry columns</w:t>
      </w:r>
    </w:p>
    <w:p>
      <w:pPr>
        <w:pStyle w:val="Compact"/>
        <w:numPr>
          <w:ilvl w:val="0"/>
          <w:numId w:val="1013"/>
        </w:numPr>
      </w:pPr>
      <w:r>
        <w:t xml:space="preserve">Xevo MRT and other high-resolution mass-spectrometry products</w:t>
      </w:r>
    </w:p>
    <w:p>
      <w:r>
        <w:pict>
          <v:rect style="width:0;height:1.5pt" o:hralign="center" o:hrstd="t" o:hr="t"/>
        </w:pict>
      </w:r>
    </w:p>
    <w:bookmarkEnd w:id="22"/>
    <w:bookmarkEnd w:id="23"/>
    <w:bookmarkStart w:id="24" w:name="X6a3c1fa75df6314a254b07c9bcc1e9b06eaa8a1"/>
    <w:p>
      <w:pPr>
        <w:pStyle w:val="Heading2"/>
      </w:pPr>
      <w:r>
        <w:t xml:space="preserve">5. Margin progression is essential to the acquisition thesis</w:t>
      </w:r>
    </w:p>
    <w:p>
      <w:pPr>
        <w:pStyle w:val="FirstParagraph"/>
      </w:pPr>
      <w:r>
        <w:t xml:space="preserve">Q1 adjusted gross margin was</w:t>
      </w:r>
      <w:r>
        <w:t xml:space="preserve"> </w:t>
      </w:r>
      <w:r>
        <w:rPr>
          <w:b/>
          <w:bCs/>
        </w:rPr>
        <w:t xml:space="preserve">54.7%</w:t>
      </w:r>
      <w:r>
        <w:t xml:space="preserve"> </w:t>
      </w:r>
      <w:r>
        <w:t xml:space="preserve">and adjusted operating margin was</w:t>
      </w:r>
      <w:r>
        <w:t xml:space="preserve"> </w:t>
      </w:r>
      <w:r>
        <w:rPr>
          <w:b/>
          <w:bCs/>
        </w:rPr>
        <w:t xml:space="preserve">23.6%</w:t>
      </w:r>
      <w:r>
        <w:t xml:space="preserve">, both approximately 200 basis points better than management had expected. Those results came before material cost-synergy benefits.</w:t>
      </w:r>
    </w:p>
    <w:p>
      <w:pPr>
        <w:pStyle w:val="BodyText"/>
      </w:pPr>
      <w:r>
        <w:t xml:space="preserve">Full-year adjusted EBIT-margin guidance of 28.2% implies substantial second-half improvement. Investors should focus less on the absolute Q2 margin—which is still burdened by integration and financing—and more on whether management can credibly bridge from Q2 to the FY target.</w:t>
      </w:r>
    </w:p>
    <w:p>
      <w:pPr>
        <w:pStyle w:val="BodyText"/>
      </w:pPr>
      <w:r>
        <w:t xml:space="preserve">Important variables include:</w:t>
      </w:r>
    </w:p>
    <w:p>
      <w:pPr>
        <w:pStyle w:val="Compact"/>
        <w:numPr>
          <w:ilvl w:val="0"/>
          <w:numId w:val="1014"/>
        </w:numPr>
      </w:pPr>
      <w:r>
        <w:t xml:space="preserve">Cost-synergy timing</w:t>
      </w:r>
    </w:p>
    <w:p>
      <w:pPr>
        <w:pStyle w:val="Compact"/>
        <w:numPr>
          <w:ilvl w:val="0"/>
          <w:numId w:val="1014"/>
        </w:numPr>
      </w:pPr>
      <w:r>
        <w:t xml:space="preserve">Acquired-business pricing</w:t>
      </w:r>
    </w:p>
    <w:p>
      <w:pPr>
        <w:pStyle w:val="Compact"/>
        <w:numPr>
          <w:ilvl w:val="0"/>
          <w:numId w:val="1014"/>
        </w:numPr>
      </w:pPr>
      <w:r>
        <w:t xml:space="preserve">Product and geographic mix</w:t>
      </w:r>
    </w:p>
    <w:p>
      <w:pPr>
        <w:pStyle w:val="Compact"/>
        <w:numPr>
          <w:ilvl w:val="0"/>
          <w:numId w:val="1014"/>
        </w:numPr>
      </w:pPr>
      <w:r>
        <w:t xml:space="preserve">Freight, component and raw-material inflation</w:t>
      </w:r>
    </w:p>
    <w:p>
      <w:pPr>
        <w:pStyle w:val="Compact"/>
        <w:numPr>
          <w:ilvl w:val="0"/>
          <w:numId w:val="1014"/>
        </w:numPr>
      </w:pPr>
      <w:r>
        <w:t xml:space="preserve">Tariff mitigation</w:t>
      </w:r>
    </w:p>
    <w:p>
      <w:pPr>
        <w:pStyle w:val="Compact"/>
        <w:numPr>
          <w:ilvl w:val="0"/>
          <w:numId w:val="1014"/>
        </w:numPr>
      </w:pPr>
      <w:r>
        <w:t xml:space="preserve">Restructuring costs</w:t>
      </w:r>
    </w:p>
    <w:p>
      <w:pPr>
        <w:pStyle w:val="Compact"/>
        <w:numPr>
          <w:ilvl w:val="0"/>
          <w:numId w:val="1014"/>
        </w:numPr>
      </w:pPr>
      <w:r>
        <w:t xml:space="preserve">TSA expenses paid to BD</w:t>
      </w:r>
    </w:p>
    <w:p>
      <w:pPr>
        <w:pStyle w:val="Compact"/>
        <w:numPr>
          <w:ilvl w:val="0"/>
          <w:numId w:val="1014"/>
        </w:numPr>
      </w:pPr>
      <w:r>
        <w:t xml:space="preserve">Ongoing ERP investment</w:t>
      </w:r>
    </w:p>
    <w:p>
      <w:pPr>
        <w:pStyle w:val="FirstParagraph"/>
      </w:pPr>
      <w:r>
        <w:t xml:space="preserve">Management previously said it had operational measures intended to offset higher freight and input costs. Any erosion in that confidence could offset an otherwise solid revenue result.</w:t>
      </w:r>
    </w:p>
    <w:p>
      <w:r>
        <w:pict>
          <v:rect style="width:0;height:1.5pt" o:hralign="center" o:hrstd="t" o:hr="t"/>
        </w:pict>
      </w:r>
    </w:p>
    <w:bookmarkEnd w:id="24"/>
    <w:bookmarkStart w:id="26" w:name="X01ffd1d0f5a5bd391640080013b437c84c998eb"/>
    <w:p>
      <w:pPr>
        <w:pStyle w:val="Heading2"/>
      </w:pPr>
      <w:r>
        <w:t xml:space="preserve">6. Cash flow and leverage deserve greater attention</w:t>
      </w:r>
    </w:p>
    <w:p>
      <w:pPr>
        <w:pStyle w:val="FirstParagraph"/>
      </w:pPr>
      <w:r>
        <w:t xml:space="preserve">The transaction dramatically changed Waters’ balance sheet. At the end of Q1, the company had:</w:t>
      </w:r>
    </w:p>
    <w:p>
      <w:pPr>
        <w:pStyle w:val="Compact"/>
        <w:numPr>
          <w:ilvl w:val="0"/>
          <w:numId w:val="1015"/>
        </w:numPr>
      </w:pPr>
      <w:r>
        <w:rPr>
          <w:b/>
          <w:bCs/>
        </w:rPr>
        <w:t xml:space="preserve">$5.3 billion of total debt</w:t>
      </w:r>
    </w:p>
    <w:p>
      <w:pPr>
        <w:pStyle w:val="Compact"/>
        <w:numPr>
          <w:ilvl w:val="0"/>
          <w:numId w:val="1015"/>
        </w:numPr>
      </w:pPr>
      <w:r>
        <w:rPr>
          <w:b/>
          <w:bCs/>
        </w:rPr>
        <w:t xml:space="preserve">$462 million of cash</w:t>
      </w:r>
    </w:p>
    <w:p>
      <w:pPr>
        <w:pStyle w:val="Compact"/>
        <w:numPr>
          <w:ilvl w:val="0"/>
          <w:numId w:val="1015"/>
        </w:numPr>
      </w:pPr>
      <w:r>
        <w:t xml:space="preserve">Approximately</w:t>
      </w:r>
      <w:r>
        <w:t xml:space="preserve"> </w:t>
      </w:r>
      <w:r>
        <w:rPr>
          <w:b/>
          <w:bCs/>
        </w:rPr>
        <w:t xml:space="preserve">$38 million of Q1 adjusted net interest expense</w:t>
      </w:r>
    </w:p>
    <w:p>
      <w:pPr>
        <w:pStyle w:val="Compact"/>
        <w:numPr>
          <w:ilvl w:val="0"/>
          <w:numId w:val="1015"/>
        </w:numPr>
      </w:pPr>
      <w:r>
        <w:rPr>
          <w:b/>
          <w:bCs/>
        </w:rPr>
        <w:t xml:space="preserve">$42 million of negative free cash flow</w:t>
      </w:r>
    </w:p>
    <w:p>
      <w:pPr>
        <w:pStyle w:val="FirstParagraph"/>
      </w:pPr>
      <w:r>
        <w:t xml:space="preserve">Q1 cash flow was distorted by transaction payments and the timing of settlements with BD. Still, investors need to see working capital begin to normalize.</w:t>
      </w:r>
    </w:p>
    <w:p>
      <w:pPr>
        <w:pStyle w:val="BodyText"/>
      </w:pPr>
      <w:r>
        <w:t xml:space="preserve">Accounts receivable and inventory increased materially after the acquisition, while the company remains dependent on BD for certain billing, collection and transition services. The TSA can run for as long as three years and costs approximately $90 million annually.</w:t>
      </w:r>
    </w:p>
    <w:bookmarkStart w:id="25" w:name="key-questions"/>
    <w:p>
      <w:pPr>
        <w:pStyle w:val="Heading3"/>
      </w:pPr>
      <w:r>
        <w:t xml:space="preserve">Key questions</w:t>
      </w:r>
    </w:p>
    <w:p>
      <w:pPr>
        <w:pStyle w:val="Compact"/>
        <w:numPr>
          <w:ilvl w:val="0"/>
          <w:numId w:val="1016"/>
        </w:numPr>
      </w:pPr>
      <w:r>
        <w:t xml:space="preserve">Did free cash flow turn positive in Q2?</w:t>
      </w:r>
    </w:p>
    <w:p>
      <w:pPr>
        <w:pStyle w:val="Compact"/>
        <w:numPr>
          <w:ilvl w:val="0"/>
          <w:numId w:val="1016"/>
        </w:numPr>
      </w:pPr>
      <w:r>
        <w:t xml:space="preserve">Are receivables related to the BD transition being collected on schedule?</w:t>
      </w:r>
    </w:p>
    <w:p>
      <w:pPr>
        <w:pStyle w:val="Compact"/>
        <w:numPr>
          <w:ilvl w:val="0"/>
          <w:numId w:val="1016"/>
        </w:numPr>
      </w:pPr>
      <w:r>
        <w:t xml:space="preserve">Is inventory normalizing after elevated safety-stock purchases?</w:t>
      </w:r>
    </w:p>
    <w:p>
      <w:pPr>
        <w:pStyle w:val="Compact"/>
        <w:numPr>
          <w:ilvl w:val="0"/>
          <w:numId w:val="1016"/>
        </w:numPr>
      </w:pPr>
      <w:r>
        <w:t xml:space="preserve">When does deleveraging become meaningful?</w:t>
      </w:r>
    </w:p>
    <w:p>
      <w:pPr>
        <w:pStyle w:val="Compact"/>
        <w:numPr>
          <w:ilvl w:val="0"/>
          <w:numId w:val="1016"/>
        </w:numPr>
      </w:pPr>
      <w:r>
        <w:t xml:space="preserve">Is the company still comfortable with the current interest-expense forecast?</w:t>
      </w:r>
    </w:p>
    <w:p>
      <w:pPr>
        <w:pStyle w:val="Compact"/>
        <w:numPr>
          <w:ilvl w:val="0"/>
          <w:numId w:val="1016"/>
        </w:numPr>
      </w:pPr>
      <w:r>
        <w:t xml:space="preserve">Will capital returns remain secondary to integration and debt repayment?</w:t>
      </w:r>
    </w:p>
    <w:p>
      <w:pPr>
        <w:pStyle w:val="FirstParagraph"/>
      </w:pPr>
      <w:r>
        <w:t xml:space="preserve">Adjusted EPS is the market’s principal earnings metric, but cash conversion will increasingly determine the credibility of the combined company’s value-creation plan.</w:t>
      </w:r>
    </w:p>
    <w:p>
      <w:r>
        <w:pict>
          <v:rect style="width:0;height:1.5pt" o:hralign="center" o:hrstd="t" o:hr="t"/>
        </w:pict>
      </w:r>
    </w:p>
    <w:bookmarkEnd w:id="25"/>
    <w:bookmarkEnd w:id="26"/>
    <w:bookmarkStart w:id="30" w:name="scenario-framework"/>
    <w:p>
      <w:pPr>
        <w:pStyle w:val="Heading2"/>
      </w:pPr>
      <w:r>
        <w:t xml:space="preserve">Scenario framework</w:t>
      </w:r>
    </w:p>
    <w:bookmarkStart w:id="27" w:name="bull-case"/>
    <w:p>
      <w:pPr>
        <w:pStyle w:val="Heading3"/>
      </w:pPr>
      <w:r>
        <w:t xml:space="preserve">Bull case</w:t>
      </w:r>
    </w:p>
    <w:p>
      <w:pPr>
        <w:pStyle w:val="Compact"/>
        <w:numPr>
          <w:ilvl w:val="0"/>
          <w:numId w:val="1017"/>
        </w:numPr>
      </w:pPr>
      <w:r>
        <w:t xml:space="preserve">Legacy organic growth exceeds 8%</w:t>
      </w:r>
    </w:p>
    <w:p>
      <w:pPr>
        <w:pStyle w:val="Compact"/>
        <w:numPr>
          <w:ilvl w:val="0"/>
          <w:numId w:val="1017"/>
        </w:numPr>
      </w:pPr>
      <w:r>
        <w:t xml:space="preserve">Acquired-business revenue exceeds $802 million with broad improvement</w:t>
      </w:r>
    </w:p>
    <w:p>
      <w:pPr>
        <w:pStyle w:val="Compact"/>
        <w:numPr>
          <w:ilvl w:val="0"/>
          <w:numId w:val="1017"/>
        </w:numPr>
      </w:pPr>
      <w:r>
        <w:t xml:space="preserve">Management raises FY revenue and EPS guidance</w:t>
      </w:r>
    </w:p>
    <w:p>
      <w:pPr>
        <w:pStyle w:val="Compact"/>
        <w:numPr>
          <w:ilvl w:val="0"/>
          <w:numId w:val="1017"/>
        </w:numPr>
      </w:pPr>
      <w:r>
        <w:t xml:space="preserve">The $55 million cost-synergy target is reaffirmed with clear Q3 benefits</w:t>
      </w:r>
    </w:p>
    <w:p>
      <w:pPr>
        <w:pStyle w:val="Compact"/>
        <w:numPr>
          <w:ilvl w:val="0"/>
          <w:numId w:val="1017"/>
        </w:numPr>
      </w:pPr>
      <w:r>
        <w:t xml:space="preserve">China localization and BACTEC FXI remain on or ahead of schedule</w:t>
      </w:r>
    </w:p>
    <w:p>
      <w:pPr>
        <w:pStyle w:val="Compact"/>
        <w:numPr>
          <w:ilvl w:val="0"/>
          <w:numId w:val="1017"/>
        </w:numPr>
      </w:pPr>
      <w:r>
        <w:t xml:space="preserve">Free cash flow improves materially</w:t>
      </w:r>
    </w:p>
    <w:p>
      <w:pPr>
        <w:pStyle w:val="FirstParagraph"/>
      </w:pPr>
      <w:r>
        <w:t xml:space="preserve">This would support the argument that Waters can progress toward high-single-digit pro forma growth, annual margin expansion of at least 100 basis points and mid-teens adjusted EPS growth.</w:t>
      </w:r>
    </w:p>
    <w:bookmarkEnd w:id="27"/>
    <w:bookmarkStart w:id="28" w:name="base-case"/>
    <w:p>
      <w:pPr>
        <w:pStyle w:val="Heading3"/>
      </w:pPr>
      <w:r>
        <w:t xml:space="preserve">Base case</w:t>
      </w:r>
    </w:p>
    <w:p>
      <w:pPr>
        <w:pStyle w:val="Compact"/>
        <w:numPr>
          <w:ilvl w:val="0"/>
          <w:numId w:val="1018"/>
        </w:numPr>
      </w:pPr>
      <w:r>
        <w:t xml:space="preserve">Revenue and EPS land in the upper half of guidance</w:t>
      </w:r>
    </w:p>
    <w:p>
      <w:pPr>
        <w:pStyle w:val="Compact"/>
        <w:numPr>
          <w:ilvl w:val="0"/>
          <w:numId w:val="1018"/>
        </w:numPr>
      </w:pPr>
      <w:r>
        <w:t xml:space="preserve">FY guidance is maintained</w:t>
      </w:r>
    </w:p>
    <w:p>
      <w:pPr>
        <w:pStyle w:val="Compact"/>
        <w:numPr>
          <w:ilvl w:val="0"/>
          <w:numId w:val="1018"/>
        </w:numPr>
      </w:pPr>
      <w:r>
        <w:t xml:space="preserve">Acquired businesses continue modest sequential improvement</w:t>
      </w:r>
    </w:p>
    <w:p>
      <w:pPr>
        <w:pStyle w:val="Compact"/>
        <w:numPr>
          <w:ilvl w:val="0"/>
          <w:numId w:val="1018"/>
        </w:numPr>
      </w:pPr>
      <w:r>
        <w:t xml:space="preserve">Cost synergies are on schedule but not accelerated</w:t>
      </w:r>
    </w:p>
    <w:p>
      <w:pPr>
        <w:pStyle w:val="Compact"/>
        <w:numPr>
          <w:ilvl w:val="0"/>
          <w:numId w:val="1018"/>
        </w:numPr>
      </w:pPr>
      <w:r>
        <w:t xml:space="preserve">Cash flow improves, though working capital remains elevated</w:t>
      </w:r>
    </w:p>
    <w:p>
      <w:pPr>
        <w:pStyle w:val="FirstParagraph"/>
      </w:pPr>
      <w:r>
        <w:t xml:space="preserve">Given the strong Q1 beat and current valuation, this outcome may produce only a modestly positive reaction.</w:t>
      </w:r>
    </w:p>
    <w:bookmarkEnd w:id="28"/>
    <w:bookmarkStart w:id="29" w:name="bear-case"/>
    <w:p>
      <w:pPr>
        <w:pStyle w:val="Heading3"/>
      </w:pPr>
      <w:r>
        <w:t xml:space="preserve">Bear case</w:t>
      </w:r>
    </w:p>
    <w:p>
      <w:pPr>
        <w:pStyle w:val="Compact"/>
        <w:numPr>
          <w:ilvl w:val="0"/>
          <w:numId w:val="1019"/>
        </w:numPr>
      </w:pPr>
      <w:r>
        <w:t xml:space="preserve">Legacy organic growth falls below 6%</w:t>
      </w:r>
    </w:p>
    <w:p>
      <w:pPr>
        <w:pStyle w:val="Compact"/>
        <w:numPr>
          <w:ilvl w:val="0"/>
          <w:numId w:val="1019"/>
        </w:numPr>
      </w:pPr>
      <w:r>
        <w:t xml:space="preserve">Acquired businesses miss the $802 million target</w:t>
      </w:r>
    </w:p>
    <w:p>
      <w:pPr>
        <w:pStyle w:val="Compact"/>
        <w:numPr>
          <w:ilvl w:val="0"/>
          <w:numId w:val="1019"/>
        </w:numPr>
      </w:pPr>
      <w:r>
        <w:t xml:space="preserve">China or academic instrumentation deteriorates</w:t>
      </w:r>
    </w:p>
    <w:p>
      <w:pPr>
        <w:pStyle w:val="Compact"/>
        <w:numPr>
          <w:ilvl w:val="0"/>
          <w:numId w:val="1019"/>
        </w:numPr>
      </w:pPr>
      <w:r>
        <w:t xml:space="preserve">Synergy benefits are delayed</w:t>
      </w:r>
    </w:p>
    <w:p>
      <w:pPr>
        <w:pStyle w:val="Compact"/>
        <w:numPr>
          <w:ilvl w:val="0"/>
          <w:numId w:val="1019"/>
        </w:numPr>
      </w:pPr>
      <w:r>
        <w:t xml:space="preserve">Full-year guidance is maintained only through favorable FX, lower tax or cost reductions</w:t>
      </w:r>
    </w:p>
    <w:p>
      <w:pPr>
        <w:pStyle w:val="Compact"/>
        <w:numPr>
          <w:ilvl w:val="0"/>
          <w:numId w:val="1019"/>
        </w:numPr>
      </w:pPr>
      <w:r>
        <w:t xml:space="preserve">Cash conversion remains weak</w:t>
      </w:r>
    </w:p>
    <w:p>
      <w:pPr>
        <w:pStyle w:val="FirstParagraph"/>
      </w:pPr>
      <w:r>
        <w:t xml:space="preserve">That combination would challenge both the acquired-business turnaround and the premium earnings multiple.</w:t>
      </w:r>
    </w:p>
    <w:p>
      <w:r>
        <w:pict>
          <v:rect style="width:0;height:1.5pt" o:hralign="center" o:hrstd="t" o:hr="t"/>
        </w:pict>
      </w:r>
    </w:p>
    <w:bookmarkEnd w:id="29"/>
    <w:bookmarkEnd w:id="30"/>
    <w:bookmarkStart w:id="32" w:name="bottom-line"/>
    <w:p>
      <w:pPr>
        <w:pStyle w:val="Heading2"/>
      </w:pPr>
      <w:r>
        <w:t xml:space="preserve">Bottom line</w:t>
      </w:r>
    </w:p>
    <w:p>
      <w:pPr>
        <w:pStyle w:val="FirstParagraph"/>
      </w:pPr>
      <w:r>
        <w:t xml:space="preserve">The reported Q2 numbers matter, but</w:t>
      </w:r>
      <w:r>
        <w:t xml:space="preserve"> </w:t>
      </w:r>
      <w:r>
        <w:rPr>
          <w:b/>
          <w:bCs/>
        </w:rPr>
        <w:t xml:space="preserve">the second-half bridge matters more</w:t>
      </w:r>
      <w:r>
        <w:t xml:space="preserve">. Waters has already demonstrated that management can rapidly improve commercial activity in the acquired businesses. It now needs to prove that those actions translate into repeatable growth, margin expansion and cash generation.</w:t>
      </w:r>
    </w:p>
    <w:p>
      <w:pPr>
        <w:pStyle w:val="BodyText"/>
      </w:pPr>
      <w:r>
        <w:t xml:space="preserve">The cleanest positive report would combine:</w:t>
      </w:r>
    </w:p>
    <w:p>
      <w:pPr>
        <w:pStyle w:val="Compact"/>
        <w:numPr>
          <w:ilvl w:val="0"/>
          <w:numId w:val="1020"/>
        </w:numPr>
      </w:pPr>
      <w:r>
        <w:t xml:space="preserve">Legacy organic growth at or above the top of the 6%–8% range</w:t>
      </w:r>
    </w:p>
    <w:p>
      <w:pPr>
        <w:pStyle w:val="Compact"/>
        <w:numPr>
          <w:ilvl w:val="0"/>
          <w:numId w:val="1020"/>
        </w:numPr>
      </w:pPr>
      <w:r>
        <w:t xml:space="preserve">Acquired-business revenue above $802 million</w:t>
      </w:r>
    </w:p>
    <w:p>
      <w:pPr>
        <w:pStyle w:val="Compact"/>
        <w:numPr>
          <w:ilvl w:val="0"/>
          <w:numId w:val="1020"/>
        </w:numPr>
      </w:pPr>
      <w:r>
        <w:t xml:space="preserve">A maintained or raised full-year outlook</w:t>
      </w:r>
    </w:p>
    <w:p>
      <w:pPr>
        <w:pStyle w:val="Compact"/>
        <w:numPr>
          <w:ilvl w:val="0"/>
          <w:numId w:val="1020"/>
        </w:numPr>
      </w:pPr>
      <w:r>
        <w:t xml:space="preserve">Firm Q3 cost-synergy and margin guidance</w:t>
      </w:r>
    </w:p>
    <w:p>
      <w:pPr>
        <w:pStyle w:val="Compact"/>
        <w:numPr>
          <w:ilvl w:val="0"/>
          <w:numId w:val="1020"/>
        </w:numPr>
      </w:pPr>
      <w:r>
        <w:t xml:space="preserve">Meaningful cash-flow normalization</w:t>
      </w:r>
    </w:p>
    <w:p>
      <w:pPr>
        <w:pStyle w:val="FirstParagraph"/>
      </w:pPr>
      <w:r>
        <w:t xml:space="preserve">With the shares trading around 26 times adjusted EPS guidance and having rallied sharply after Q1, expectations are no longer low. Investors are likely to reward a guidance raise backed by improving acquired-business fundamentals, but may look through a headline beat if it lacks stronger second-half evidence.</w:t>
      </w:r>
    </w:p>
    <w:bookmarkStart w:id="31" w:name="sources-reviewed"/>
    <w:p>
      <w:pPr>
        <w:pStyle w:val="Heading3"/>
      </w:pPr>
      <w:r>
        <w:t xml:space="preserve">Sources reviewed</w:t>
      </w:r>
    </w:p>
    <w:p>
      <w:pPr>
        <w:pStyle w:val="Compact"/>
        <w:numPr>
          <w:ilvl w:val="0"/>
          <w:numId w:val="1021"/>
        </w:numPr>
      </w:pPr>
      <w:r>
        <w:t xml:space="preserve">Waters 2026Q1 earnings-call transcript, May 5, 2026</w:t>
      </w:r>
    </w:p>
    <w:p>
      <w:pPr>
        <w:pStyle w:val="Compact"/>
        <w:numPr>
          <w:ilvl w:val="0"/>
          <w:numId w:val="1021"/>
        </w:numPr>
      </w:pPr>
      <w:r>
        <w:t xml:space="preserve">Waters 2026Q1 Form 10-Q, filed May 12, 2026</w:t>
      </w:r>
    </w:p>
    <w:p>
      <w:pPr>
        <w:pStyle w:val="Compact"/>
        <w:numPr>
          <w:ilvl w:val="0"/>
          <w:numId w:val="1021"/>
        </w:numPr>
      </w:pPr>
      <w:r>
        <w:t xml:space="preserve">Waters Q2 earnings-call scheduling release, July 2, 2026</w:t>
      </w:r>
    </w:p>
    <w:p>
      <w:pPr>
        <w:pStyle w:val="Compact"/>
        <w:numPr>
          <w:ilvl w:val="0"/>
          <w:numId w:val="1021"/>
        </w:numPr>
      </w:pPr>
      <w:r>
        <w:t xml:space="preserve">WAT historical closing-price data through August 3, 2026</w:t>
      </w:r>
    </w:p>
    <w:bookmarkEnd w:id="31"/>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2026-08-04T00:15:08Z</dcterms:created>
  <dcterms:modified xsi:type="dcterms:W3CDTF">2026-08-04T00:15:08Z</dcterms:modified>
</cp:coreProperties>
</file>

<file path=docProps/custom.xml><?xml version="1.0" encoding="utf-8"?>
<Properties xmlns="http://schemas.openxmlformats.org/officeDocument/2006/custom-properties" xmlns:vt="http://schemas.openxmlformats.org/officeDocument/2006/docPropsVTypes"/>
</file>