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at-earnings-predictions--2026-08-04"/>
    <w:p>
      <w:pPr>
        <w:pStyle w:val="Heading1"/>
      </w:pPr>
      <w:r>
        <w:t xml:space="preserve">WAT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BD Biosciences pro forma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~flat to +1% pro forma vs. cons ~+2.5% implied (UNVERIFIED standalone consensus)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Legacy Waters organic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~7.5-8% vs. cons 6.96% (Visible Alpha,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3.05</m:t>
              </m:r>
              <m:r>
                <m:rPr>
                  <m:sty m:val="p"/>
                </m:rPr>
                <m:t>−</m:t>
              </m:r>
            </m:oMath>
            <w:r>
              <w:t xml:space="preserve">3.10 vs. cons $3.008 (Visible Alpha,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- FY 2026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~$6.50-6.55B vs. cons $6.445B (Visible Alpha,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- FY 2026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~$14.60-14.70 vs. cons $14.522 (Visible Alpha,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- Q3 2026 (next quarter)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3.65</m:t>
              </m:r>
              <m:r>
                <m:rPr>
                  <m:sty m:val="p"/>
                </m:rPr>
                <m:t>−</m:t>
              </m:r>
              <m:r>
                <m:t>3.75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3.60 (Visible Alpha, Aug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BD integration tone / qualitative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Biosciences inflects to positive pro forma; synergy phasing confirmed; BACTEC FXI ramp update vs. cons expectation of continued uncertainty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rebuilds H2 estimates on synergy confirmation; all three prior Archetype A quarters showed positive 5-day follow-through (+2.3%, +15.7%, +14.0%); H2 estimate revisions are the mechanism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2026-08-06T02:02:56Z</dcterms:created>
  <dcterms:modified xsi:type="dcterms:W3CDTF">2026-08-06T02:02:56Z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