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Waters Corporation (WAT)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Waters Corporation</w:t>
            </w:r>
          </w:p>
        </w:tc>
      </w:tr>
      <w:tr>
        <w:tc>
          <w:tcPr>
            <w:tcW w:type="dxa" w:w="4320"/>
          </w:tcPr>
          <w:p>
            <w:r>
              <w:rPr>
                <w:rFonts w:ascii="Calibri" w:hAnsi="Calibri"/>
                <w:b/>
                <w:sz w:val="22"/>
              </w:rPr>
              <w:t>Ticker</w:t>
            </w:r>
          </w:p>
        </w:tc>
        <w:tc>
          <w:tcPr>
            <w:tcW w:type="dxa" w:w="4320"/>
          </w:tcPr>
          <w:p>
            <w:r>
              <w:rPr>
                <w:rFonts w:ascii="Calibri" w:hAnsi="Calibri"/>
                <w:sz w:val="22"/>
              </w:rPr>
              <w:t>WAT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 —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without risk — consensus sits near the midpoint of guidance, pharma end-market strength and BD integration momentum are the primary upside levers, while EPS growth is deliberately front-loaded with cost synergies only beginning to flow through in Q3, making the Q2 print a revenue-quality story more than an earnings beat.</w:t>
      </w:r>
    </w:p>
    <w:p>
      <w:r>
        <w:rPr>
          <w:rFonts w:ascii="Calibri" w:hAnsi="Calibri"/>
          <w:b/>
          <w:color w:val="525866"/>
          <w:sz w:val="22"/>
        </w:rPr>
        <w:t xml:space="preserve">Bar: </w:t>
      </w:r>
      <w:r>
        <w:rPr>
          <w:rFonts w:ascii="Calibri" w:hAnsi="Calibri"/>
          <w:color w:val="525866"/>
          <w:sz w:val="22"/>
        </w:rPr>
        <w:t>Consensus total revenue of ~$1.624B sits near the midpoint of management’s guided range of $1.616B–$1.631B, implying a modest but achievable bar on the top line. Adjusted EPS consensus of ~$3.01 is similarly centered on the $2.95–$3.05 guidance range, leaving limited room for a large beat unless organic Waters growth or BD acquired-business revenue outperforms again as it did in Q1.</w:t>
      </w:r>
      <w:r>
        <w:rPr>
          <w:rFonts w:ascii="Calibri" w:hAnsi="Calibri"/>
          <w:i/>
          <w:color w:val="525866"/>
          <w:sz w:val="22"/>
        </w:rPr>
        <w:t xml:space="preserve"> Estimate revisions have moved sharply lower since Q4 2025 — the May 2026 consensus EPS of $2.43 was well below the $3.10 level seen in November 2025 — meaning the bar has been reset to a level management can credibly clear.</w:t>
      </w:r>
    </w:p>
    <w:p>
      <w:r>
        <w:rPr>
          <w:rFonts w:ascii="Calibri" w:hAnsi="Calibri"/>
          <w:b/>
          <w:color w:val="525866"/>
          <w:sz w:val="22"/>
        </w:rPr>
        <w:t xml:space="preserve">Guidance/Tone: </w:t>
      </w:r>
      <w:r>
        <w:rPr>
          <w:rFonts w:ascii="Calibri" w:hAnsi="Calibri"/>
          <w:color w:val="525866"/>
          <w:sz w:val="22"/>
        </w:rPr>
        <w:t>Management’s posture at the June 3 Jefferies Healthcare Conference was deliberately cautious on the second half, explicitly stating they “derisked the back half” after Q1’s ~$60M top-line beat. Q2 guidance embeds only 50 bps of pricing benefit, no operational improvement upside, and a $10M chemistry headwind from a prior-year China pull-forward — all of which represent potential sources of upside if execution holds. The 180-day BD integration plan was described as “already showing benefit,” with tactical synergies expected to begin flowing in Q2 and strategic synergies in H2.</w:t>
      </w:r>
    </w:p>
    <w:p>
      <w:r>
        <w:rPr>
          <w:rFonts w:ascii="Calibri" w:hAnsi="Calibri"/>
          <w:b/>
          <w:color w:val="525866"/>
          <w:sz w:val="22"/>
        </w:rPr>
        <w:t xml:space="preserve">Estimate Trajectory: </w:t>
      </w:r>
      <w:r>
        <w:rPr>
          <w:rFonts w:ascii="Calibri" w:hAnsi="Calibri"/>
          <w:color w:val="525866"/>
          <w:sz w:val="22"/>
        </w:rPr>
        <w:t>Revisions have been sharply negative since the Q4 2025 print, with the Q2 2026 adjusted EPS consensus falling from ~$3.10 in November 2025 to ~$2.29 by June 2026 before stabilizing at ~$3.01 post-Q1 guidance raise. The post-Q1 reset appears to have stabilized estimates near guidance midpoints, suggesting the revision cycle has bottomed and the gap between guidance and consensus is now a cushion rather than a risk.</w:t>
      </w:r>
    </w:p>
    <w:p>
      <w:r>
        <w:rPr>
          <w:rFonts w:ascii="Calibri" w:hAnsi="Calibri"/>
          <w:b/>
          <w:color w:val="525866"/>
          <w:sz w:val="22"/>
        </w:rPr>
        <w:t xml:space="preserve">Stock Setup: </w:t>
      </w:r>
      <w:r>
        <w:rPr>
          <w:rFonts w:ascii="Calibri" w:hAnsi="Calibri"/>
          <w:color w:val="525866"/>
          <w:sz w:val="22"/>
        </w:rPr>
        <w:t>WAT has rallied ~9% from the Q1 earnings close of $342.75 to ~$377 as of August 1, outperforming XLV (+12%) and roughly in line with SPY (+3%) over the same period. The stock trades at ~24x NTM P/E and ~16x NTM EV/EBITDA, a premium to the sector that reflects BD integration optionality and the replacement cycle runway. The multiple has compressed modestly from the post-Q1 spike, suggesting the market is not pricing in a large beat but is not positioned defensively either.</w:t>
      </w:r>
    </w:p>
    <w:p>
      <w:r>
        <w:rPr>
          <w:rFonts w:ascii="Calibri" w:hAnsi="Calibri"/>
          <w:b/>
          <w:color w:val="525866"/>
          <w:sz w:val="22"/>
        </w:rPr>
        <w:t xml:space="preserve">Wildcard: </w:t>
      </w:r>
      <w:r>
        <w:rPr>
          <w:rFonts w:ascii="Calibri" w:hAnsi="Calibri"/>
          <w:color w:val="525866"/>
          <w:sz w:val="22"/>
        </w:rPr>
        <w:t>The single biggest swing factor is the trajectory of the BD Biosciences and Diagnostic Solutions businesses on a full-quarter pro forma basis. In Q1, Biosciences declined only 1% pro forma (vs. double-digit declines pre-close) and Advanced Diagnostics grew 3% pro forma — a sharp inflection. If Q2 shows continued sequential improvement driven by the 180-day plan (deal desks, reagent rental contract compliance, China localization), the stock could re-rate higher. Conversely, any sign that the BD inflection was a one-quarter phenomenon would be a material negative.</w:t>
      </w:r>
    </w:p>
    <w:p>
      <w:r>
        <w:rPr>
          <w:rFonts w:ascii="Calibri" w:hAnsi="Calibri"/>
          <w:i/>
          <w:color w:val="525866"/>
          <w:sz w:val="22"/>
        </w:rPr>
        <w:t xml:space="preserve">Source: Visible Alpha Consensus and Actuals Data. </w:t>
      </w:r>
      <w:r>
        <w:rPr>
          <w:rFonts w:ascii="Calibri" w:hAnsi="Calibri"/>
          <w:i/>
          <w:color w:val="525866"/>
          <w:sz w:val="22"/>
        </w:rPr>
        <w:t>Note: YoY comparisons for Total Revenue and Operating Income are inflated by the BD Biosciences &amp; Diagnostic Solutions acquisition (closed February 9, 2026). Q2 2025 figures reflect legacy Waters only. Chemistry Q2 2026 guidance of ~4% growth reflects a $10M China pull-forward headwind from Q2 2025; management expects chemistry to revert to high-single-digit growth in steady state.</w:t>
      </w:r>
    </w:p>
    <w:p>
      <w:pPr>
        <w:pStyle w:val="Heading3"/>
      </w:pPr>
      <w:r>
        <w:rPr>
          <w:rFonts w:ascii="Calibri" w:hAnsi="Calibri"/>
          <w:b/>
          <w:color w:val="3B4259"/>
          <w:sz w:val="24"/>
        </w:rPr>
        <w:t>Table 2 — Beat/Miss History (Last 8 Quarters) —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$1,267.0M</w:t>
            </w:r>
          </w:p>
        </w:tc>
        <w:tc>
          <w:tcPr>
            <w:tcW w:type="dxa" w:w="1440"/>
          </w:tcPr>
          <w:p>
            <w:r>
              <w:rPr>
                <w:rFonts w:ascii="Calibri" w:hAnsi="Calibri"/>
                <w:sz w:val="22"/>
              </w:rPr>
              <w:t>$1,230.9M</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$2.70</w:t>
            </w:r>
          </w:p>
        </w:tc>
        <w:tc>
          <w:tcPr>
            <w:tcW w:type="dxa" w:w="1440"/>
          </w:tcPr>
          <w:p>
            <w:r>
              <w:rPr>
                <w:rFonts w:ascii="Calibri" w:hAnsi="Calibri"/>
                <w:sz w:val="22"/>
              </w:rPr>
              <w:t>$2.32</w:t>
            </w:r>
          </w:p>
        </w:tc>
        <w:tc>
          <w:tcPr>
            <w:tcW w:type="dxa" w:w="1440"/>
          </w:tcPr>
          <w:p>
            <w:r>
              <w:rPr>
                <w:rFonts w:ascii="Calibri" w:hAnsi="Calibri"/>
                <w:b/>
                <w:color w:val="30A46C"/>
                <w:sz w:val="22"/>
              </w:rPr>
              <w:t>+16.4%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$932.4M</w:t>
            </w:r>
          </w:p>
        </w:tc>
        <w:tc>
          <w:tcPr>
            <w:tcW w:type="dxa" w:w="1440"/>
          </w:tcPr>
          <w:p>
            <w:r>
              <w:rPr>
                <w:rFonts w:ascii="Calibri" w:hAnsi="Calibri"/>
                <w:sz w:val="22"/>
              </w:rPr>
              <w:t>$928.9M</w:t>
            </w:r>
          </w:p>
        </w:tc>
        <w:tc>
          <w:tcPr>
            <w:tcW w:type="dxa" w:w="1440"/>
          </w:tcPr>
          <w:p>
            <w:r>
              <w:rPr>
                <w:rFonts w:ascii="Calibri" w:hAnsi="Calibri"/>
                <w:b/>
                <w:color w:val="30A46C"/>
                <w:sz w:val="22"/>
              </w:rPr>
              <w:t>+0.4%</w:t>
            </w:r>
          </w:p>
        </w:tc>
        <w:tc>
          <w:tcPr>
            <w:tcW w:type="dxa" w:w="1440"/>
          </w:tcPr>
          <w:p>
            <w:r>
              <w:rPr>
                <w:rFonts w:ascii="Calibri" w:hAnsi="Calibri"/>
                <w:b/>
                <w:color w:val="30A46C"/>
                <w:sz w:val="22"/>
              </w:rPr>
              <w:t>Slight 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$4.53</w:t>
            </w:r>
          </w:p>
        </w:tc>
        <w:tc>
          <w:tcPr>
            <w:tcW w:type="dxa" w:w="1440"/>
          </w:tcPr>
          <w:p>
            <w:r>
              <w:rPr>
                <w:rFonts w:ascii="Calibri" w:hAnsi="Calibri"/>
                <w:sz w:val="22"/>
              </w:rPr>
              <w:t>$4.51</w:t>
            </w:r>
          </w:p>
        </w:tc>
        <w:tc>
          <w:tcPr>
            <w:tcW w:type="dxa" w:w="1440"/>
          </w:tcPr>
          <w:p>
            <w:r>
              <w:rPr>
                <w:rFonts w:ascii="Calibri" w:hAnsi="Calibri"/>
                <w:b/>
                <w:color w:val="30A46C"/>
                <w:sz w:val="22"/>
              </w:rPr>
              <w:t>+0.4%</w:t>
            </w:r>
          </w:p>
        </w:tc>
        <w:tc>
          <w:tcPr>
            <w:tcW w:type="dxa" w:w="1440"/>
          </w:tcPr>
          <w:p>
            <w:r>
              <w:rPr>
                <w:rFonts w:ascii="Calibri" w:hAnsi="Calibri"/>
                <w:b/>
                <w:color w:val="30A46C"/>
                <w:sz w:val="22"/>
              </w:rPr>
              <w:t>Slight 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$799.9M</w:t>
            </w:r>
          </w:p>
        </w:tc>
        <w:tc>
          <w:tcPr>
            <w:tcW w:type="dxa" w:w="1440"/>
          </w:tcPr>
          <w:p>
            <w:r>
              <w:rPr>
                <w:rFonts w:ascii="Calibri" w:hAnsi="Calibri"/>
                <w:sz w:val="22"/>
              </w:rPr>
              <w:t>$781.4M</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$3.40</w:t>
            </w:r>
          </w:p>
        </w:tc>
        <w:tc>
          <w:tcPr>
            <w:tcW w:type="dxa" w:w="1440"/>
          </w:tcPr>
          <w:p>
            <w:r>
              <w:rPr>
                <w:rFonts w:ascii="Calibri" w:hAnsi="Calibri"/>
                <w:sz w:val="22"/>
              </w:rPr>
              <w:t>$3.21</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$771.3M</w:t>
            </w:r>
          </w:p>
        </w:tc>
        <w:tc>
          <w:tcPr>
            <w:tcW w:type="dxa" w:w="1440"/>
          </w:tcPr>
          <w:p>
            <w:r>
              <w:rPr>
                <w:rFonts w:ascii="Calibri" w:hAnsi="Calibri"/>
                <w:sz w:val="22"/>
              </w:rPr>
              <w:t>$746.6M</w:t>
            </w:r>
          </w:p>
        </w:tc>
        <w:tc>
          <w:tcPr>
            <w:tcW w:type="dxa" w:w="1440"/>
          </w:tcPr>
          <w:p>
            <w:r>
              <w:rPr>
                <w:rFonts w:ascii="Calibri" w:hAnsi="Calibri"/>
                <w:b/>
                <w:color w:val="30A46C"/>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$2.95</w:t>
            </w:r>
          </w:p>
        </w:tc>
        <w:tc>
          <w:tcPr>
            <w:tcW w:type="dxa" w:w="1440"/>
          </w:tcPr>
          <w:p>
            <w:r>
              <w:rPr>
                <w:rFonts w:ascii="Calibri" w:hAnsi="Calibri"/>
                <w:sz w:val="22"/>
              </w:rPr>
              <w:t>$2.94</w:t>
            </w:r>
          </w:p>
        </w:tc>
        <w:tc>
          <w:tcPr>
            <w:tcW w:type="dxa" w:w="1440"/>
          </w:tcPr>
          <w:p>
            <w:r>
              <w:rPr>
                <w:rFonts w:ascii="Calibri" w:hAnsi="Calibri"/>
                <w:b/>
                <w:color w:val="30A46C"/>
                <w:sz w:val="22"/>
              </w:rPr>
              <w:t>+0.3%</w:t>
            </w:r>
          </w:p>
        </w:tc>
        <w:tc>
          <w:tcPr>
            <w:tcW w:type="dxa" w:w="1440"/>
          </w:tcPr>
          <w:p>
            <w:r>
              <w:rPr>
                <w:rFonts w:ascii="Calibri" w:hAnsi="Calibri"/>
                <w:b/>
                <w:color w:val="30A46C"/>
                <w:sz w:val="22"/>
              </w:rPr>
              <w:t>In Line</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$661.7M</w:t>
            </w:r>
          </w:p>
        </w:tc>
        <w:tc>
          <w:tcPr>
            <w:tcW w:type="dxa" w:w="1440"/>
          </w:tcPr>
          <w:p>
            <w:r>
              <w:rPr>
                <w:rFonts w:ascii="Calibri" w:hAnsi="Calibri"/>
                <w:sz w:val="22"/>
              </w:rPr>
              <w:t>$654.1M</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$2.25</w:t>
            </w:r>
          </w:p>
        </w:tc>
        <w:tc>
          <w:tcPr>
            <w:tcW w:type="dxa" w:w="1440"/>
          </w:tcPr>
          <w:p>
            <w:r>
              <w:rPr>
                <w:rFonts w:ascii="Calibri" w:hAnsi="Calibri"/>
                <w:sz w:val="22"/>
              </w:rPr>
              <w:t>$2.22</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$872.7M</w:t>
            </w:r>
          </w:p>
        </w:tc>
        <w:tc>
          <w:tcPr>
            <w:tcW w:type="dxa" w:w="1440"/>
          </w:tcPr>
          <w:p>
            <w:r>
              <w:rPr>
                <w:rFonts w:ascii="Calibri" w:hAnsi="Calibri"/>
                <w:sz w:val="22"/>
              </w:rPr>
              <w:t>$856.4M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$4.10</w:t>
            </w:r>
          </w:p>
        </w:tc>
        <w:tc>
          <w:tcPr>
            <w:tcW w:type="dxa" w:w="1440"/>
          </w:tcPr>
          <w:p>
            <w:r>
              <w:rPr>
                <w:rFonts w:ascii="Calibri" w:hAnsi="Calibri"/>
                <w:sz w:val="22"/>
              </w:rPr>
              <w:t>$4.02</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$740.3M</w:t>
            </w:r>
          </w:p>
        </w:tc>
        <w:tc>
          <w:tcPr>
            <w:tcW w:type="dxa" w:w="1440"/>
          </w:tcPr>
          <w:p>
            <w:r>
              <w:rPr>
                <w:rFonts w:ascii="Calibri" w:hAnsi="Calibri"/>
                <w:sz w:val="22"/>
              </w:rPr>
              <w:t>$712.7M</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$2.93</w:t>
            </w:r>
          </w:p>
        </w:tc>
        <w:tc>
          <w:tcPr>
            <w:tcW w:type="dxa" w:w="1440"/>
          </w:tcPr>
          <w:p>
            <w:r>
              <w:rPr>
                <w:rFonts w:ascii="Calibri" w:hAnsi="Calibri"/>
                <w:sz w:val="22"/>
              </w:rPr>
              <w:t>$2.68</w:t>
            </w:r>
          </w:p>
        </w:tc>
        <w:tc>
          <w:tcPr>
            <w:tcW w:type="dxa" w:w="1440"/>
          </w:tcPr>
          <w:p>
            <w:r>
              <w:rPr>
                <w:rFonts w:ascii="Calibri" w:hAnsi="Calibri"/>
                <w:b/>
                <w:color w:val="30A46C"/>
                <w:sz w:val="22"/>
              </w:rPr>
              <w:t>+9.3%</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WAT has beaten revenue consensus in each of the last 8 quarters, with the magnitude of beats ranging from modest (+0.4% in Q4 2025) to substantial (+16.4% EPS beat in Q1 2026). The consistent beat pattern on revenue suggests management guides conservatively; however, the Q4 2025 EPS guidance disappointment (weak forward guidance despite a slight revenue beat) is a reminder that top-line beats do not always translate to positive stock reactions.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(May 5) on both revenue and EPS, with management deliberately embedding additional H2 prudence after the Q1 beat. No further formal guidance changes have been made since; the June 3 Jefferies conference reaffirmed the existing range with constructive color on BD integration progress and China pharma momentum.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$1,616M – $1,631M (organic reported $814M–$829M + BD ~$802M)</w:t>
            </w:r>
          </w:p>
        </w:tc>
        <w:tc>
          <w:tcPr>
            <w:tcW w:type="dxa" w:w="1728"/>
          </w:tcPr>
          <w:p>
            <w:r>
              <w:rPr>
                <w:rFonts w:ascii="Calibri" w:hAnsi="Calibri"/>
                <w:sz w:val="22"/>
              </w:rPr>
              <w:t>—</w:t>
            </w:r>
          </w:p>
        </w:tc>
        <w:tc>
          <w:tcPr>
            <w:tcW w:type="dxa" w:w="1728"/>
          </w:tcPr>
          <w:p>
            <w:r>
              <w:rPr>
                <w:rFonts w:ascii="Calibri" w:hAnsi="Calibri"/>
                <w:sz w:val="22"/>
              </w:rPr>
              <w:t>$1,624.0M</w:t>
            </w:r>
          </w:p>
        </w:tc>
        <w:tc>
          <w:tcPr>
            <w:tcW w:type="dxa" w:w="1728"/>
          </w:tcPr>
          <w:p>
            <w:r>
              <w:rPr>
                <w:rFonts w:ascii="Calibri" w:hAnsi="Calibri"/>
                <w:sz w:val="22"/>
              </w:rPr>
              <w:t>Guidance unchanged since Q1 earnings; consensus at midpoint. Organic CC growth guided 6%–8%; FX headwind ~0.5%.</w:t>
            </w:r>
          </w:p>
        </w:tc>
      </w:tr>
      <w:tr>
        <w:tc>
          <w:tcPr>
            <w:tcW w:type="dxa" w:w="1728"/>
          </w:tcPr>
          <w:p>
            <w:r>
              <w:rPr>
                <w:rFonts w:ascii="Calibri" w:hAnsi="Calibri"/>
                <w:sz w:val="22"/>
              </w:rPr>
              <w:t>Q2 2026 Adj. EPS</w:t>
            </w:r>
          </w:p>
        </w:tc>
        <w:tc>
          <w:tcPr>
            <w:tcW w:type="dxa" w:w="1728"/>
          </w:tcPr>
          <w:p>
            <w:r>
              <w:rPr>
                <w:rFonts w:ascii="Calibri" w:hAnsi="Calibri"/>
                <w:sz w:val="22"/>
              </w:rPr>
              <w:t>$2.95 – $3.05</w:t>
            </w:r>
          </w:p>
        </w:tc>
        <w:tc>
          <w:tcPr>
            <w:tcW w:type="dxa" w:w="1728"/>
          </w:tcPr>
          <w:p>
            <w:r>
              <w:rPr>
                <w:rFonts w:ascii="Calibri" w:hAnsi="Calibri"/>
                <w:sz w:val="22"/>
              </w:rPr>
              <w:t>—</w:t>
            </w:r>
          </w:p>
        </w:tc>
        <w:tc>
          <w:tcPr>
            <w:tcW w:type="dxa" w:w="1728"/>
          </w:tcPr>
          <w:p>
            <w:r>
              <w:rPr>
                <w:rFonts w:ascii="Calibri" w:hAnsi="Calibri"/>
                <w:sz w:val="22"/>
              </w:rPr>
              <w:t>$3.01</w:t>
            </w:r>
          </w:p>
        </w:tc>
        <w:tc>
          <w:tcPr>
            <w:tcW w:type="dxa" w:w="1728"/>
          </w:tcPr>
          <w:p>
            <w:r>
              <w:rPr>
                <w:rFonts w:ascii="Calibri" w:hAnsi="Calibri"/>
                <w:sz w:val="22"/>
              </w:rPr>
              <w:t>Guidance unchanged. EPS reflects full burden of higher interest costs and new shares; cost synergies begin flowing in Q3. Flat to +3.4% YoY growth.</w:t>
            </w:r>
          </w:p>
        </w:tc>
      </w:tr>
      <w:tr>
        <w:tc>
          <w:tcPr>
            <w:tcW w:type="dxa" w:w="1728"/>
          </w:tcPr>
          <w:p>
            <w:r>
              <w:rPr>
                <w:rFonts w:ascii="Calibri" w:hAnsi="Calibri"/>
                <w:sz w:val="22"/>
              </w:rPr>
              <w:t>FY 2026 Total Revenue</w:t>
            </w:r>
          </w:p>
        </w:tc>
        <w:tc>
          <w:tcPr>
            <w:tcW w:type="dxa" w:w="1728"/>
          </w:tcPr>
          <w:p>
            <w:r>
              <w:rPr>
                <w:rFonts w:ascii="Calibri" w:hAnsi="Calibri"/>
                <w:sz w:val="22"/>
              </w:rPr>
              <w:t>$6,405M – $6,455M (raised from prior range at Q1 earnings; organic CC growth 6.5%–8%)</w:t>
            </w:r>
          </w:p>
        </w:tc>
        <w:tc>
          <w:tcPr>
            <w:tcW w:type="dxa" w:w="1728"/>
          </w:tcPr>
          <w:p>
            <w:r>
              <w:rPr>
                <w:rFonts w:ascii="Calibri" w:hAnsi="Calibri"/>
                <w:sz w:val="22"/>
              </w:rPr>
              <w:t>—</w:t>
            </w:r>
          </w:p>
        </w:tc>
        <w:tc>
          <w:tcPr>
            <w:tcW w:type="dxa" w:w="1728"/>
          </w:tcPr>
          <w:p>
            <w:r>
              <w:rPr>
                <w:rFonts w:ascii="Calibri" w:hAnsi="Calibri"/>
                <w:sz w:val="22"/>
              </w:rPr>
              <w:t>$6,444.9M</w:t>
            </w:r>
          </w:p>
        </w:tc>
        <w:tc>
          <w:tcPr>
            <w:tcW w:type="dxa" w:w="1728"/>
          </w:tcPr>
          <w:p>
            <w:r>
              <w:rPr>
                <w:rFonts w:ascii="Calibri" w:hAnsi="Calibri"/>
                <w:sz w:val="22"/>
              </w:rPr>
              <w:t>Raised at Q1 earnings (May 5). BD businesses now expected to generate ~$3.035B including $35M revenue synergies. FX now neutral vs. prior headwind assumption.</w:t>
            </w:r>
          </w:p>
        </w:tc>
      </w:tr>
      <w:tr>
        <w:tc>
          <w:tcPr>
            <w:tcW w:type="dxa" w:w="1728"/>
          </w:tcPr>
          <w:p>
            <w:r>
              <w:rPr>
                <w:rFonts w:ascii="Calibri" w:hAnsi="Calibri"/>
                <w:sz w:val="22"/>
              </w:rPr>
              <w:t>FY 2026 Adj. EPS</w:t>
            </w:r>
          </w:p>
        </w:tc>
        <w:tc>
          <w:tcPr>
            <w:tcW w:type="dxa" w:w="1728"/>
          </w:tcPr>
          <w:p>
            <w:r>
              <w:rPr>
                <w:rFonts w:ascii="Calibri" w:hAnsi="Calibri"/>
                <w:sz w:val="22"/>
              </w:rPr>
              <w:t>$14.40 – $14.60 (raised $0.10 at Q1 earnings; +10%–11% YoY)</w:t>
            </w:r>
          </w:p>
        </w:tc>
        <w:tc>
          <w:tcPr>
            <w:tcW w:type="dxa" w:w="1728"/>
          </w:tcPr>
          <w:p>
            <w:r>
              <w:rPr>
                <w:rFonts w:ascii="Calibri" w:hAnsi="Calibri"/>
                <w:sz w:val="22"/>
              </w:rPr>
              <w:t>—</w:t>
            </w:r>
          </w:p>
        </w:tc>
        <w:tc>
          <w:tcPr>
            <w:tcW w:type="dxa" w:w="1728"/>
          </w:tcPr>
          <w:p>
            <w:r>
              <w:rPr>
                <w:rFonts w:ascii="Calibri" w:hAnsi="Calibri"/>
                <w:sz w:val="22"/>
              </w:rPr>
              <w:t>$14.52</w:t>
            </w:r>
          </w:p>
        </w:tc>
        <w:tc>
          <w:tcPr>
            <w:tcW w:type="dxa" w:w="1728"/>
          </w:tcPr>
          <w:p>
            <w:r>
              <w:rPr>
                <w:rFonts w:ascii="Calibri" w:hAnsi="Calibri"/>
                <w:sz w:val="22"/>
              </w:rPr>
              <w:t>Raised at Q1 earnings. Adj. EBIT margin target 28.2% for FY2026. Tax rate ~16%. Net interest expense ~$186M.</w:t>
            </w:r>
          </w:p>
        </w:tc>
      </w:tr>
      <w:tr>
        <w:tc>
          <w:tcPr>
            <w:tcW w:type="dxa" w:w="1728"/>
          </w:tcPr>
          <w:p>
            <w:r>
              <w:rPr>
                <w:rFonts w:ascii="Calibri" w:hAnsi="Calibri"/>
                <w:sz w:val="22"/>
              </w:rPr>
              <w:t>FY 2026 Adj. EBIT Margin</w:t>
            </w:r>
          </w:p>
        </w:tc>
        <w:tc>
          <w:tcPr>
            <w:tcW w:type="dxa" w:w="1728"/>
          </w:tcPr>
          <w:p>
            <w:r>
              <w:rPr>
                <w:rFonts w:ascii="Calibri" w:hAnsi="Calibri"/>
                <w:sz w:val="22"/>
              </w:rPr>
              <w:t>28.2% (stated at Q1 earnings)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Cost synergies ($55M target for 2026) begin flowing through P&amp;L in Q3; Q2 EPS is pre-synergy benefit.</w:t>
            </w:r>
          </w:p>
        </w:tc>
      </w:tr>
      <w:tr>
        <w:tc>
          <w:tcPr>
            <w:tcW w:type="dxa" w:w="1728"/>
          </w:tcPr>
          <w:p>
            <w:r>
              <w:rPr>
                <w:rFonts w:ascii="Calibri" w:hAnsi="Calibri"/>
                <w:sz w:val="22"/>
              </w:rPr>
              <w:t>Chemistry Growth (Q2 2026)</w:t>
            </w:r>
          </w:p>
        </w:tc>
        <w:tc>
          <w:tcPr>
            <w:tcW w:type="dxa" w:w="1728"/>
          </w:tcPr>
          <w:p>
            <w:r>
              <w:rPr>
                <w:rFonts w:ascii="Calibri" w:hAnsi="Calibri"/>
                <w:sz w:val="22"/>
              </w:rPr>
              <w:t>~4% (mgmt guided “4-ish%” at Jefferies, June 3, due to $10M China pull-forward headwind from Q2 2025)</w:t>
            </w:r>
          </w:p>
        </w:tc>
        <w:tc>
          <w:tcPr>
            <w:tcW w:type="dxa" w:w="1728"/>
          </w:tcPr>
          <w:p>
            <w:r>
              <w:rPr>
                <w:rFonts w:ascii="Calibri" w:hAnsi="Calibri"/>
                <w:sz w:val="22"/>
              </w:rPr>
              <w:t>—</w:t>
            </w:r>
          </w:p>
        </w:tc>
        <w:tc>
          <w:tcPr>
            <w:tcW w:type="dxa" w:w="1728"/>
          </w:tcPr>
          <w:p>
            <w:r>
              <w:rPr>
                <w:rFonts w:ascii="Calibri" w:hAnsi="Calibri"/>
                <w:sz w:val="22"/>
              </w:rPr>
              <w:t>~4.2% YoY implied by $171.9M consensus vs. $165.0M PY</w:t>
            </w:r>
          </w:p>
        </w:tc>
        <w:tc>
          <w:tcPr>
            <w:tcW w:type="dxa" w:w="1728"/>
          </w:tcPr>
          <w:p>
            <w:r>
              <w:rPr>
                <w:rFonts w:ascii="Calibri" w:hAnsi="Calibri"/>
                <w:sz w:val="22"/>
              </w:rPr>
              <w:t>Mgmt expects chemistry to revert to high-single-digit growth in steady state; Q2 is a tough comp quarter. Full-year chemistry guide ~6.5%.</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stabilized near guidance midpoints following the post-Q1 reset, with the EPS revision cycle having bottomed after a sharp decline from November 2025 highs. The gap between current consensus and guidance is narrow, suggesting estimates are tracking guidance rather than diverging — a neutral-to-constructive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$1,621.9M</w:t>
            </w:r>
          </w:p>
        </w:tc>
        <w:tc>
          <w:tcPr>
            <w:tcW w:type="dxa" w:w="1080"/>
          </w:tcPr>
          <w:p>
            <w:r>
              <w:rPr>
                <w:rFonts w:ascii="Calibri" w:hAnsi="Calibri"/>
                <w:sz w:val="22"/>
              </w:rPr>
              <w:t>$1,624.0M</w:t>
            </w:r>
          </w:p>
        </w:tc>
        <w:tc>
          <w:tcPr>
            <w:tcW w:type="dxa" w:w="1080"/>
          </w:tcPr>
          <w:p>
            <w:r>
              <w:rPr>
                <w:rFonts w:ascii="Calibri" w:hAnsi="Calibri"/>
                <w:sz w:val="22"/>
              </w:rPr>
              <w:t>+0.1%</w:t>
            </w:r>
          </w:p>
        </w:tc>
        <w:tc>
          <w:tcPr>
            <w:tcW w:type="dxa" w:w="1080"/>
          </w:tcPr>
          <w:p>
            <w:r>
              <w:rPr>
                <w:rFonts w:ascii="Calibri" w:hAnsi="Calibri"/>
                <w:sz w:val="22"/>
              </w:rPr>
              <w:t>$1,616M – $1,631M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$1,623.5M midpoint</w:t>
            </w:r>
          </w:p>
        </w:tc>
      </w:tr>
      <w:tr>
        <w:tc>
          <w:tcPr>
            <w:tcW w:type="dxa" w:w="1080"/>
          </w:tcPr>
          <w:p>
            <w:r>
              <w:rPr>
                <w:rFonts w:ascii="Calibri" w:hAnsi="Calibri"/>
                <w:sz w:val="22"/>
              </w:rPr>
              <w:t>Adj. EPS — Q2 2026</w:t>
            </w:r>
          </w:p>
        </w:tc>
        <w:tc>
          <w:tcPr>
            <w:tcW w:type="dxa" w:w="1080"/>
          </w:tcPr>
          <w:p>
            <w:r>
              <w:rPr>
                <w:rFonts w:ascii="Calibri" w:hAnsi="Calibri"/>
                <w:sz w:val="22"/>
              </w:rPr>
              <w:t>$3.01</w:t>
            </w:r>
          </w:p>
        </w:tc>
        <w:tc>
          <w:tcPr>
            <w:tcW w:type="dxa" w:w="1080"/>
          </w:tcPr>
          <w:p>
            <w:r>
              <w:rPr>
                <w:rFonts w:ascii="Calibri" w:hAnsi="Calibri"/>
                <w:sz w:val="22"/>
              </w:rPr>
              <w:t>$3.01</w:t>
            </w:r>
          </w:p>
        </w:tc>
        <w:tc>
          <w:tcPr>
            <w:tcW w:type="dxa" w:w="1080"/>
          </w:tcPr>
          <w:p>
            <w:r>
              <w:rPr>
                <w:rFonts w:ascii="Calibri" w:hAnsi="Calibri"/>
                <w:sz w:val="22"/>
              </w:rPr>
              <w:t>0.0%</w:t>
            </w:r>
          </w:p>
        </w:tc>
        <w:tc>
          <w:tcPr>
            <w:tcW w:type="dxa" w:w="1080"/>
          </w:tcPr>
          <w:p>
            <w:r>
              <w:rPr>
                <w:rFonts w:ascii="Calibri" w:hAnsi="Calibri"/>
                <w:sz w:val="22"/>
              </w:rPr>
              <w:t>$2.95 – $3.05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$3.00 midpoint</w:t>
            </w:r>
          </w:p>
        </w:tc>
      </w:tr>
      <w:tr>
        <w:tc>
          <w:tcPr>
            <w:tcW w:type="dxa" w:w="1080"/>
          </w:tcPr>
          <w:p>
            <w:r>
              <w:rPr>
                <w:rFonts w:ascii="Calibri" w:hAnsi="Calibri"/>
                <w:sz w:val="22"/>
              </w:rPr>
              <w:t>Total Revenue — FY 2026</w:t>
            </w:r>
          </w:p>
        </w:tc>
        <w:tc>
          <w:tcPr>
            <w:tcW w:type="dxa" w:w="1080"/>
          </w:tcPr>
          <w:p>
            <w:r>
              <w:rPr>
                <w:rFonts w:ascii="Calibri" w:hAnsi="Calibri"/>
                <w:sz w:val="22"/>
              </w:rPr>
              <w:t>$6,440.6M</w:t>
            </w:r>
          </w:p>
        </w:tc>
        <w:tc>
          <w:tcPr>
            <w:tcW w:type="dxa" w:w="1080"/>
          </w:tcPr>
          <w:p>
            <w:r>
              <w:rPr>
                <w:rFonts w:ascii="Calibri" w:hAnsi="Calibri"/>
                <w:sz w:val="22"/>
              </w:rPr>
              <w:t>$6,444.9M</w:t>
            </w:r>
          </w:p>
        </w:tc>
        <w:tc>
          <w:tcPr>
            <w:tcW w:type="dxa" w:w="1080"/>
          </w:tcPr>
          <w:p>
            <w:r>
              <w:rPr>
                <w:rFonts w:ascii="Calibri" w:hAnsi="Calibri"/>
                <w:sz w:val="22"/>
              </w:rPr>
              <w:t>+0.1%</w:t>
            </w:r>
          </w:p>
        </w:tc>
        <w:tc>
          <w:tcPr>
            <w:tcW w:type="dxa" w:w="1080"/>
          </w:tcPr>
          <w:p>
            <w:r>
              <w:rPr>
                <w:rFonts w:ascii="Calibri" w:hAnsi="Calibri"/>
                <w:sz w:val="22"/>
              </w:rPr>
              <w:t>$6,405M – $6,455M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$6,430M midpoint</w:t>
            </w:r>
          </w:p>
        </w:tc>
      </w:tr>
      <w:tr>
        <w:tc>
          <w:tcPr>
            <w:tcW w:type="dxa" w:w="1080"/>
          </w:tcPr>
          <w:p>
            <w:r>
              <w:rPr>
                <w:rFonts w:ascii="Calibri" w:hAnsi="Calibri"/>
                <w:sz w:val="22"/>
              </w:rPr>
              <w:t>Adj. EPS — FY 2026</w:t>
            </w:r>
          </w:p>
        </w:tc>
        <w:tc>
          <w:tcPr>
            <w:tcW w:type="dxa" w:w="1080"/>
          </w:tcPr>
          <w:p>
            <w:r>
              <w:rPr>
                <w:rFonts w:ascii="Calibri" w:hAnsi="Calibri"/>
                <w:sz w:val="22"/>
              </w:rPr>
              <w:t>$14.50</w:t>
            </w:r>
          </w:p>
        </w:tc>
        <w:tc>
          <w:tcPr>
            <w:tcW w:type="dxa" w:w="1080"/>
          </w:tcPr>
          <w:p>
            <w:r>
              <w:rPr>
                <w:rFonts w:ascii="Calibri" w:hAnsi="Calibri"/>
                <w:sz w:val="22"/>
              </w:rPr>
              <w:t>$14.52</w:t>
            </w:r>
          </w:p>
        </w:tc>
        <w:tc>
          <w:tcPr>
            <w:tcW w:type="dxa" w:w="1080"/>
          </w:tcPr>
          <w:p>
            <w:r>
              <w:rPr>
                <w:rFonts w:ascii="Calibri" w:hAnsi="Calibri"/>
                <w:sz w:val="22"/>
              </w:rPr>
              <w:t>+0.1%</w:t>
            </w:r>
          </w:p>
        </w:tc>
        <w:tc>
          <w:tcPr>
            <w:tcW w:type="dxa" w:w="1080"/>
          </w:tcPr>
          <w:p>
            <w:r>
              <w:rPr>
                <w:rFonts w:ascii="Calibri" w:hAnsi="Calibri"/>
                <w:sz w:val="22"/>
              </w:rPr>
              <w:t>$14.40 – $14.60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$14.50 midpoint</w:t>
            </w:r>
          </w:p>
        </w:tc>
      </w:tr>
      <w:tr>
        <w:tc>
          <w:tcPr>
            <w:tcW w:type="dxa" w:w="1080"/>
          </w:tcPr>
          <w:p>
            <w:r>
              <w:rPr>
                <w:rFonts w:ascii="Calibri" w:hAnsi="Calibri"/>
                <w:sz w:val="22"/>
              </w:rPr>
              <w:t>Instruments Sales — Q2 2026</w:t>
            </w:r>
          </w:p>
        </w:tc>
        <w:tc>
          <w:tcPr>
            <w:tcW w:type="dxa" w:w="1080"/>
          </w:tcPr>
          <w:p>
            <w:r>
              <w:rPr>
                <w:rFonts w:ascii="Calibri" w:hAnsi="Calibri"/>
                <w:sz w:val="22"/>
              </w:rPr>
              <w:t>$319.7M</w:t>
            </w:r>
          </w:p>
        </w:tc>
        <w:tc>
          <w:tcPr>
            <w:tcW w:type="dxa" w:w="1080"/>
          </w:tcPr>
          <w:p>
            <w:r>
              <w:rPr>
                <w:rFonts w:ascii="Calibri" w:hAnsi="Calibri"/>
                <w:sz w:val="22"/>
              </w:rPr>
              <w:t>$321.1M</w:t>
            </w:r>
          </w:p>
        </w:tc>
        <w:tc>
          <w:tcPr>
            <w:tcW w:type="dxa" w:w="1080"/>
          </w:tcPr>
          <w:p>
            <w:r>
              <w:rPr>
                <w:rFonts w:ascii="Calibri" w:hAnsi="Calibri"/>
                <w:sz w:val="22"/>
              </w:rPr>
              <w:t>+0.4%</w:t>
            </w:r>
          </w:p>
        </w:tc>
        <w:tc>
          <w:tcPr>
            <w:tcW w:type="dxa" w:w="1080"/>
          </w:tcPr>
          <w:p>
            <w:r>
              <w:rPr>
                <w:rFonts w:ascii="Calibri" w:hAnsi="Calibri"/>
                <w:sz w:val="22"/>
              </w:rPr>
              <w:t>Not separately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Chemistry — Q2 2026</w:t>
            </w:r>
          </w:p>
        </w:tc>
        <w:tc>
          <w:tcPr>
            <w:tcW w:type="dxa" w:w="1080"/>
          </w:tcPr>
          <w:p>
            <w:r>
              <w:rPr>
                <w:rFonts w:ascii="Calibri" w:hAnsi="Calibri"/>
                <w:sz w:val="22"/>
              </w:rPr>
              <w:t>$172.2M</w:t>
            </w:r>
          </w:p>
        </w:tc>
        <w:tc>
          <w:tcPr>
            <w:tcW w:type="dxa" w:w="1080"/>
          </w:tcPr>
          <w:p>
            <w:r>
              <w:rPr>
                <w:rFonts w:ascii="Calibri" w:hAnsi="Calibri"/>
                <w:sz w:val="22"/>
              </w:rPr>
              <w:t>$171.9M</w:t>
            </w:r>
          </w:p>
        </w:tc>
        <w:tc>
          <w:tcPr>
            <w:tcW w:type="dxa" w:w="1080"/>
          </w:tcPr>
          <w:p>
            <w:r>
              <w:rPr>
                <w:rFonts w:ascii="Calibri" w:hAnsi="Calibri"/>
                <w:sz w:val="22"/>
              </w:rPr>
              <w:t>-0.2%</w:t>
            </w:r>
          </w:p>
        </w:tc>
        <w:tc>
          <w:tcPr>
            <w:tcW w:type="dxa" w:w="1080"/>
          </w:tcPr>
          <w:p>
            <w:r>
              <w:rPr>
                <w:rFonts w:ascii="Calibri" w:hAnsi="Calibri"/>
                <w:sz w:val="22"/>
              </w:rPr>
              <w:t>~4% growth (Jefferies, June 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~+4.2% vs. ~4% guide — in line</w:t>
            </w:r>
          </w:p>
        </w:tc>
      </w:tr>
    </w:tbl>
    <w:p>
      <w:r>
        <w:rPr>
          <w:rFonts w:ascii="Calibri" w:hAnsi="Calibri"/>
          <w:i/>
          <w:color w:val="525866"/>
          <w:sz w:val="22"/>
        </w:rPr>
        <w:t xml:space="preserve">Source: Visible Alpha Consensus and Actuals Data. </w:t>
      </w:r>
      <w:r>
        <w:rPr>
          <w:rFonts w:ascii="Calibri" w:hAnsi="Calibri"/>
          <w:i/>
          <w:color w:val="525866"/>
          <w:sz w:val="22"/>
        </w:rPr>
        <w:t>Estimates have been remarkably stable since the post-Q1 reset, with virtually no movement between the May 12 baseline and current consensus. This stability reflects a market that has accepted management’s guidance as the anchor, with no incremental positive or negative catalysts since the Jefferies conference. The key risk is that Q2 EPS is deliberately pre-synergy (cost synergies begin in Q3), meaning any upside to Q2 EPS would need to come from revenue outperformance or better-than-expected BD business margins.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WAT has recovered ~9% since the Q1 2026 earnings date (May 5), broadly tracking XLV but lagging the sector ETF’s stronger recovery; the 3-month +22% move was driven primarily by multiple expansion (+7% EV/EBITDA) rather than estimate revisions, suggesting sentiment and BD integration optimism are the primary drivers rather than fundamental earnings upgrades.</w:t>
      </w:r>
    </w:p>
    <w:p>
      <w:r>
        <w:rPr>
          <w:rFonts w:ascii="Calibri" w:hAnsi="Calibri"/>
          <w:color w:val="525866"/>
          <w:sz w:val="22"/>
        </w:rPr>
        <w:t>The chart below shows WAT, XLV (Health Care Select Sector SPDR), and SPY (S&amp;P 500) indexed to 100 at the Q1 2026 earnings date (May 5, 2026). Key events are marked with vertical dashed lines.</w:t>
      </w:r>
    </w:p>
    <w:p>
      <w:r>
        <w:rPr>
          <w:rFonts w:ascii="Calibri" w:hAnsi="Calibri"/>
          <w:i/>
          <w:color w:val="525866"/>
          <w:sz w:val="22"/>
        </w:rPr>
        <w:t>[Stock Performance Chart: WAT vs. XLV vs. SPY, indexed to 100 at May 5, 2026. WAT: dark navy solid line; XLV: mid-grey dashed; SPY: light grey dashed. Vertical event markers: June 3 — Jefferies Conference / FXI U.S. Approval; July 21 — DHR Q2 Earnings; July 23 — TMO Q2 Earnings; July 30 — ILMN Q2 Earnings. Source: Yahoo Finance.]</w:t>
      </w:r>
    </w:p>
    <w:p>
      <w:r>
        <w:rPr>
          <w:i/>
        </w:rPr>
        <w:t>[Image not found: gs://lum-production-user-data/conversations/conv_01k1aqhqhqfhqvbhqhqhqhqhq/plotly_charts/wat_stock_performance.json]</w:t>
      </w:r>
    </w:p>
    <w:p>
      <w:pPr>
        <w:jc w:val="center"/>
      </w:pPr>
      <w:r>
        <w:rPr>
          <w:i/>
          <w:color w:val="666666"/>
          <w:sz w:val="18"/>
        </w:rPr>
        <w:t>WAT vs. XLV vs. SPY — Indexed to 100 at Q1 2026 Earnings (May 5, 2026). Note: Chart generated from Yahoo Finance price data. WAT: dark navy; XLV: mid-grey dashed; SPY: light grey dashed. Events marked: June 3 Jefferies Conference; July 21 DHR Q2 Earnings; July 23 TMO Q2 Earnings; July 30 ILMN Q2 Earnings.</w:t>
      </w:r>
    </w:p>
    <w:p>
      <w:r>
        <w:rPr>
          <w:rFonts w:ascii="Calibri" w:hAnsi="Calibri"/>
          <w:b/>
          <w:color w:val="525866"/>
          <w:sz w:val="22"/>
        </w:rPr>
        <w:t>Performance Summary (May 5 – August 1, 2026):</w:t>
      </w:r>
    </w:p>
    <w:p>
      <w:r>
        <w:rPr>
          <w:rFonts w:ascii="Calibri" w:hAnsi="Calibri"/>
          <w:i/>
          <w:color w:val="525866"/>
          <w:sz w:val="22"/>
        </w:rPr>
        <w:t xml:space="preserve">Note: </w:t>
      </w:r>
      <w:r>
        <w:rPr>
          <w:rFonts w:ascii="Calibri" w:hAnsi="Calibri"/>
          <w:i/>
          <w:color w:val="525866"/>
          <w:sz w:val="22"/>
        </w:rPr>
        <w:t>A stock performance chart (WAT vs. XLV vs. SPY, indexed to 100 at May 5, 2026) was generated from Yahoo Finance price data. WAT recovered from a post-Q1 earnings dip (stock fell to ~$329 by May 15 as the market digested below-consensus Q2 EPS guidance) before rallying strongly through late May and June on positive peer read-throughs and BD integration confidence. Key events: June 3 Jefferies Conference (guidance reaffirmed, FXI U.S. approval announced); July 21–30 peer earnings (DHR, TMO, ILMN all raised guidance).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May 5 Close</w:t>
            </w:r>
          </w:p>
        </w:tc>
        <w:tc>
          <w:tcPr>
            <w:tcW w:type="dxa" w:w="2160"/>
            <w:shd w:val="clear" w:color="auto" w:fill="3B4259"/>
          </w:tcPr>
          <w:p>
            <w:r>
              <w:rPr>
                <w:rFonts w:ascii="Calibri" w:hAnsi="Calibri"/>
                <w:b/>
                <w:color w:val="FFFFFF"/>
                <w:sz w:val="22"/>
              </w:rPr>
              <w:t>Aug 1 Close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WAT</w:t>
            </w:r>
          </w:p>
        </w:tc>
        <w:tc>
          <w:tcPr>
            <w:tcW w:type="dxa" w:w="2160"/>
          </w:tcPr>
          <w:p>
            <w:r>
              <w:rPr>
                <w:rFonts w:ascii="Calibri" w:hAnsi="Calibri"/>
                <w:sz w:val="22"/>
              </w:rPr>
              <w:t>$342.75</w:t>
            </w:r>
          </w:p>
        </w:tc>
        <w:tc>
          <w:tcPr>
            <w:tcW w:type="dxa" w:w="2160"/>
          </w:tcPr>
          <w:p>
            <w:r>
              <w:rPr>
                <w:rFonts w:ascii="Calibri" w:hAnsi="Calibri"/>
                <w:sz w:val="22"/>
              </w:rPr>
              <w:t>$377.31</w:t>
            </w:r>
          </w:p>
        </w:tc>
        <w:tc>
          <w:tcPr>
            <w:tcW w:type="dxa" w:w="2160"/>
          </w:tcPr>
          <w:p>
            <w:r>
              <w:rPr>
                <w:rFonts w:ascii="Calibri" w:hAnsi="Calibri"/>
                <w:sz w:val="22"/>
              </w:rPr>
              <w:t>+10.1%</w:t>
            </w:r>
          </w:p>
        </w:tc>
      </w:tr>
      <w:tr>
        <w:tc>
          <w:tcPr>
            <w:tcW w:type="dxa" w:w="2160"/>
          </w:tcPr>
          <w:p>
            <w:r>
              <w:rPr>
                <w:rFonts w:ascii="Calibri" w:hAnsi="Calibri"/>
                <w:sz w:val="22"/>
              </w:rPr>
              <w:t>XLV</w:t>
            </w:r>
          </w:p>
        </w:tc>
        <w:tc>
          <w:tcPr>
            <w:tcW w:type="dxa" w:w="2160"/>
          </w:tcPr>
          <w:p>
            <w:r>
              <w:rPr>
                <w:rFonts w:ascii="Calibri" w:hAnsi="Calibri"/>
                <w:sz w:val="22"/>
              </w:rPr>
              <w:t>$145.30</w:t>
            </w:r>
          </w:p>
        </w:tc>
        <w:tc>
          <w:tcPr>
            <w:tcW w:type="dxa" w:w="2160"/>
          </w:tcPr>
          <w:p>
            <w:r>
              <w:rPr>
                <w:rFonts w:ascii="Calibri" w:hAnsi="Calibri"/>
                <w:sz w:val="22"/>
              </w:rPr>
              <w:t>$162.55</w:t>
            </w:r>
          </w:p>
        </w:tc>
        <w:tc>
          <w:tcPr>
            <w:tcW w:type="dxa" w:w="2160"/>
          </w:tcPr>
          <w:p>
            <w:r>
              <w:rPr>
                <w:rFonts w:ascii="Calibri" w:hAnsi="Calibri"/>
                <w:sz w:val="22"/>
              </w:rPr>
              <w:t>+11.9%</w:t>
            </w:r>
          </w:p>
        </w:tc>
      </w:tr>
      <w:tr>
        <w:tc>
          <w:tcPr>
            <w:tcW w:type="dxa" w:w="2160"/>
          </w:tcPr>
          <w:p>
            <w:r>
              <w:rPr>
                <w:rFonts w:ascii="Calibri" w:hAnsi="Calibri"/>
                <w:sz w:val="22"/>
              </w:rPr>
              <w:t>SPY</w:t>
            </w:r>
          </w:p>
        </w:tc>
        <w:tc>
          <w:tcPr>
            <w:tcW w:type="dxa" w:w="2160"/>
          </w:tcPr>
          <w:p>
            <w:r>
              <w:rPr>
                <w:rFonts w:ascii="Calibri" w:hAnsi="Calibri"/>
                <w:sz w:val="22"/>
              </w:rPr>
              <w:t>$723.77</w:t>
            </w:r>
          </w:p>
        </w:tc>
        <w:tc>
          <w:tcPr>
            <w:tcW w:type="dxa" w:w="2160"/>
          </w:tcPr>
          <w:p>
            <w:r>
              <w:rPr>
                <w:rFonts w:ascii="Calibri" w:hAnsi="Calibri"/>
                <w:sz w:val="22"/>
              </w:rPr>
              <w:t>$747.03</w:t>
            </w:r>
          </w:p>
        </w:tc>
        <w:tc>
          <w:tcPr>
            <w:tcW w:type="dxa" w:w="2160"/>
          </w:tcPr>
          <w:p>
            <w:r>
              <w:rPr>
                <w:rFonts w:ascii="Calibri" w:hAnsi="Calibri"/>
                <w:sz w:val="22"/>
              </w:rPr>
              <w:t>+3.2%</w:t>
            </w:r>
          </w:p>
        </w:tc>
      </w:tr>
    </w:tbl>
    <w:p>
      <w:r>
        <w:rPr>
          <w:rFonts w:ascii="Calibri" w:hAnsi="Calibri"/>
          <w:i/>
          <w:color w:val="525866"/>
          <w:sz w:val="22"/>
        </w:rPr>
        <w:t xml:space="preserve">Source: Yahoo Finance / Stock Price Data. </w:t>
      </w:r>
      <w:r>
        <w:rPr>
          <w:rFonts w:ascii="Calibri" w:hAnsi="Calibri"/>
          <w:i/>
          <w:color w:val="525866"/>
          <w:sz w:val="22"/>
        </w:rPr>
        <w:t>WAT initially sold off sharply in the two weeks following Q1 earnings (falling to ~$329 by May 15) as the market digested the Q2 EPS guidance of $2.95–$3.05, which was below pre-print expectations. The stock then recovered strongly through late May and June, reaching ~$384 by late July, driven by positive peer read-throughs (DHR, TMO) and growing confidence in BD integration execution. The stock has slightly underperformed XLV since Q1 earnings, consistent with the stock performance decomposition showing that the 3-month rally was primarily multiple-expansion driven (+7% EV/EBITDA) rather than estimate-revision driven.</w:t>
      </w:r>
    </w:p>
    <w:p>
      <w:r>
        <w:br w:type="page"/>
      </w:r>
    </w:p>
    <w:p>
      <w:pPr>
        <w:pStyle w:val="Heading2"/>
      </w:pPr>
      <w:r>
        <w:rPr>
          <w:rFonts w:ascii="Calibri" w:hAnsi="Calibri"/>
          <w:b/>
          <w:color w:val="3B4259"/>
          <w:sz w:val="28"/>
        </w:rPr>
        <w:t>6. Peer Commentary &amp; Read-Throughs (Last 60 Days — Q2 2026 Current-Quarter Commentary Only)</w:t>
      </w:r>
    </w:p>
    <w:p>
      <w:r>
        <w:rPr>
          <w:rFonts w:ascii="Calibri" w:hAnsi="Calibri"/>
          <w:b/>
          <w:color w:val="525866"/>
          <w:sz w:val="22"/>
        </w:rPr>
        <w:t xml:space="preserve">Key Takeaway: </w:t>
      </w:r>
      <w:r>
        <w:rPr>
          <w:rFonts w:ascii="Calibri" w:hAnsi="Calibri"/>
          <w:color w:val="525866"/>
          <w:sz w:val="22"/>
        </w:rPr>
        <w:t xml:space="preserve">Peer Q2 2026 results from DHR, TMO, and ILMN collectively paint a </w:t>
      </w:r>
    </w:p>
    <w:p>
      <w:r>
        <w:rPr>
          <w:rFonts w:ascii="Calibri" w:hAnsi="Calibri"/>
          <w:b/>
          <w:color w:val="525866"/>
          <w:sz w:val="22"/>
        </w:rPr>
        <w:t xml:space="preserve">Key Takeaway: </w:t>
      </w:r>
      <w:r>
        <w:rPr>
          <w:rFonts w:ascii="Calibri" w:hAnsi="Calibri"/>
          <w:color w:val="525866"/>
          <w:sz w:val="22"/>
        </w:rPr>
        <w:t>Peer Q2 2026 results from DHR (July 21), TMO (July 23), and ILMN (July 30) collectively paint a constructive but nuanced picture for WAT: pharma/biotech demand is strengthening across the board, instrument capital spending is healthy, and China is stabilizing — all bullish for WAT’s legacy Analytical Sciences business. The primary cautionary note is persistent weakness in academic/government funding and a specific DHR bioprocessing consumables push-out (chromatography resins) that introduces near-term lumpiness risk for WAT’s chemistry consumables.</w:t>
      </w:r>
    </w:p>
    <w:p>
      <w:pPr>
        <w:pStyle w:val="Heading3"/>
      </w:pPr>
      <w:r>
        <w:rPr>
          <w:rFonts w:ascii="Calibri" w:hAnsi="Calibri"/>
          <w:b/>
          <w:color w:val="3B4259"/>
          <w:sz w:val="24"/>
        </w:rPr>
        <w:t>Danaher (DHR) — Q2 2026 Earnings (Reported July 21, 2026)</w:t>
      </w:r>
    </w:p>
    <w:p>
      <w:r>
        <w:rPr>
          <w:rFonts w:ascii="Calibri" w:hAnsi="Calibri"/>
          <w:b/>
          <w:color w:val="525866"/>
          <w:sz w:val="22"/>
        </w:rPr>
        <w:t xml:space="preserve">Pharma &amp; Biotech Demand — </w:t>
      </w:r>
      <w:r>
        <w:rPr>
          <w:rFonts w:ascii="Calibri" w:hAnsi="Calibri"/>
          <w:b/>
          <w:color w:val="30A46C"/>
          <w:sz w:val="22"/>
        </w:rPr>
        <w:t xml:space="preserve">Bullish Read-Through: </w:t>
      </w:r>
      <w:r>
        <w:rPr>
          <w:rFonts w:ascii="Calibri" w:hAnsi="Calibri"/>
          <w:color w:val="525866"/>
          <w:sz w:val="22"/>
        </w:rPr>
        <w:t xml:space="preserve"> DHR reported that demand from large pharma and biopharma customers “remained healthy” and that improved biotech funding is “translating from funnel activity to orders and, on the margins, to revenue.” Abcam (life sciences reagents) delivered its “best quarter since acquisition,” partly driven by commercial initiatives in biopharma and diagnostic end markets. DHR expects large pharma and biopharma to “progress back to normal” with continued momentum into H2. This is a direct positive read-through for WAT’s pharma segment, which grew mid-teens in Q1 and is the primary driver of legacy Waters growth.</w:t>
      </w:r>
    </w:p>
    <w:p>
      <w:r>
        <w:rPr>
          <w:rFonts w:ascii="Calibri" w:hAnsi="Calibri"/>
          <w:b/>
          <w:color w:val="525866"/>
          <w:sz w:val="22"/>
        </w:rPr>
        <w:t xml:space="preserve">Instruments / Capital Equipment — </w:t>
      </w:r>
      <w:r>
        <w:rPr>
          <w:rFonts w:ascii="Calibri" w:hAnsi="Calibri"/>
          <w:b/>
          <w:color w:val="30A46C"/>
          <w:sz w:val="22"/>
        </w:rPr>
        <w:t xml:space="preserve">Bullish Read-Through: </w:t>
      </w:r>
      <w:r>
        <w:rPr>
          <w:rFonts w:ascii="Calibri" w:hAnsi="Calibri"/>
          <w:color w:val="525866"/>
          <w:sz w:val="22"/>
        </w:rPr>
        <w:t xml:space="preserve"> DHR’s life sciences instrument businesses grew mid-single digits across all end markets in Q2. Bioprocessing equipment revenue grew low single digits, with mid-teens order growth, and DHR described itself as in the “early innings” of a multi-year CapEx cycle driven by reshoring and capacity expansion for biologics. This is consistent with WAT management’s own narrative of a replacement cycle with runway into 2027 and a reshoring bridge in 2027–2028.</w:t>
      </w:r>
    </w:p>
    <w:p>
      <w:r>
        <w:rPr>
          <w:rFonts w:ascii="Calibri" w:hAnsi="Calibri"/>
          <w:b/>
          <w:color w:val="525866"/>
          <w:sz w:val="22"/>
        </w:rPr>
        <w:t xml:space="preserve">Bioprocessing Consumables — </w:t>
      </w:r>
      <w:r>
        <w:rPr>
          <w:rFonts w:ascii="Calibri" w:hAnsi="Calibri"/>
          <w:b/>
          <w:color w:val="E5484D"/>
          <w:sz w:val="22"/>
        </w:rPr>
        <w:t xml:space="preserve">Cautionary Read-Through: </w:t>
      </w:r>
      <w:r>
        <w:rPr>
          <w:rFonts w:ascii="Calibri" w:hAnsi="Calibri"/>
          <w:color w:val="525866"/>
          <w:sz w:val="22"/>
        </w:rPr>
        <w:t xml:space="preserve"> DHR reported that bioprocessing consumables grew only low single digits in Q2, below expectations, due to a few large chromatography resin shipments (each $10M–$30M) being pushed out of the quarter at customers’ requests due to production schedule changes and site readiness issues. Approximately $100M of revenue shifted from Q2/Q3 into 2027. While DHR characterized these as “special circumstances” with healthy underlying mid-teens order growth, the push-out introduces near-term lumpiness risk for WAT’s chemistry consumables business, particularly in large-scale bioprocessing accounts.</w:t>
      </w:r>
    </w:p>
    <w:p>
      <w:r>
        <w:rPr>
          <w:rFonts w:ascii="Calibri" w:hAnsi="Calibri"/>
          <w:b/>
          <w:color w:val="525866"/>
          <w:sz w:val="22"/>
        </w:rPr>
        <w:t xml:space="preserve">China — </w:t>
      </w:r>
      <w:r>
        <w:rPr>
          <w:rFonts w:ascii="Calibri" w:hAnsi="Calibri"/>
          <w:b/>
          <w:color w:val="30A46C"/>
          <w:sz w:val="22"/>
        </w:rPr>
        <w:t xml:space="preserve">Bullish Read-Through: </w:t>
      </w:r>
      <w:r>
        <w:rPr>
          <w:rFonts w:ascii="Calibri" w:hAnsi="Calibri"/>
          <w:color w:val="525866"/>
          <w:sz w:val="22"/>
        </w:rPr>
        <w:t xml:space="preserve"> DHR reported mid-single digit growth in China in Q2, with life sciences market conditions “continuing to stabilize” and diagnostics improving sequentially as DRG/reimbursement headwinds begin to annualize. DHR expects China policy headwinds to “lessen in Q3 and Q4.” This is a positive read-through for WAT’s China pharma business (which grew over 50% in Q1) and for the BD Biosciences/Diagnostics businesses, which faced DRG-related headwinds in China in Q1.</w:t>
      </w:r>
    </w:p>
    <w:p>
      <w:r>
        <w:rPr>
          <w:rFonts w:ascii="Calibri" w:hAnsi="Calibri"/>
          <w:b/>
          <w:color w:val="525866"/>
          <w:sz w:val="22"/>
        </w:rPr>
        <w:t xml:space="preserve">Academic/Government — </w:t>
      </w:r>
      <w:r>
        <w:rPr>
          <w:rFonts w:ascii="Calibri" w:hAnsi="Calibri"/>
          <w:b/>
          <w:color w:val="525866"/>
          <w:sz w:val="22"/>
        </w:rPr>
        <w:t xml:space="preserve">Mixed Read-Through: </w:t>
      </w:r>
      <w:r>
        <w:rPr>
          <w:rFonts w:ascii="Calibri" w:hAnsi="Calibri"/>
          <w:color w:val="525866"/>
          <w:sz w:val="22"/>
        </w:rPr>
        <w:t xml:space="preserve"> DHR noted that academic and government markets have “largely stabilized” with modest improvement as Q2 progressed, but does not anticipate a large recovery dynamic. Academic represents less than 5% of DHR’s revenue. For WAT, academic/government is a smaller but non-trivial segment; the stabilization narrative is consistent with WAT’s Q1 commentary of high-teens academic/government growth (which was partly a recovery from prior weakness).</w:t>
      </w:r>
    </w:p>
    <w:p>
      <w:pPr>
        <w:pStyle w:val="Heading3"/>
      </w:pPr>
      <w:r>
        <w:rPr>
          <w:rFonts w:ascii="Calibri" w:hAnsi="Calibri"/>
          <w:b/>
          <w:color w:val="3B4259"/>
          <w:sz w:val="24"/>
        </w:rPr>
        <w:t>Thermo Fisher Scientific (TMO) — Q2 2026 Earnings (Reported July 23, 2026)</w:t>
      </w:r>
    </w:p>
    <w:p>
      <w:r>
        <w:rPr>
          <w:rFonts w:ascii="Calibri" w:hAnsi="Calibri"/>
          <w:b/>
          <w:color w:val="525866"/>
          <w:sz w:val="22"/>
        </w:rPr>
        <w:t xml:space="preserve">Pharma &amp; Biotech Demand — </w:t>
      </w:r>
      <w:r>
        <w:rPr>
          <w:rFonts w:ascii="Calibri" w:hAnsi="Calibri"/>
          <w:b/>
          <w:color w:val="30A46C"/>
          <w:sz w:val="22"/>
        </w:rPr>
        <w:t xml:space="preserve">Bullish Read-Through: </w:t>
      </w:r>
      <w:r>
        <w:rPr>
          <w:rFonts w:ascii="Calibri" w:hAnsi="Calibri"/>
          <w:color w:val="525866"/>
          <w:sz w:val="22"/>
        </w:rPr>
        <w:t xml:space="preserve"> TMO delivered mid-single digit growth in pharma and biotech in Q2, led by bioproduction and clinical research. Management observed “real signs of the biotech recovery,” noting that biotech activity has been picking up in authorizations for several quarters with a typical six-month lag to revenue. Large pharma executives expressed “a lot of excitement about their pipelines” and a “positive tone” on navigating macro factors including IRA, MFN, and tariffs. TMO expects pharma/biotech to be “a little better” in H2, with clinical research expected to have “a really good year.” This is a strong positive read-through for WAT’s pharma segment and for the BD Biosciences business’s biopharma-facing flow cytometry and reagents.</w:t>
      </w:r>
    </w:p>
    <w:p>
      <w:r>
        <w:rPr>
          <w:rFonts w:ascii="Calibri" w:hAnsi="Calibri"/>
          <w:b/>
          <w:color w:val="525866"/>
          <w:sz w:val="22"/>
        </w:rPr>
        <w:t xml:space="preserve">Analytical Instruments (Chromatography &amp; Mass Spec) — </w:t>
      </w:r>
      <w:r>
        <w:rPr>
          <w:rFonts w:ascii="Calibri" w:hAnsi="Calibri"/>
          <w:b/>
          <w:color w:val="30A46C"/>
          <w:sz w:val="22"/>
        </w:rPr>
        <w:t xml:space="preserve">Bullish Read-Through: </w:t>
      </w:r>
      <w:r>
        <w:rPr>
          <w:rFonts w:ascii="Calibri" w:hAnsi="Calibri"/>
          <w:color w:val="525866"/>
          <w:sz w:val="22"/>
        </w:rPr>
        <w:t xml:space="preserve"> TMO’s Analytical Instruments segment grew 7% (both reported and organic) in Q2, with “good growth across all three businesses.” The chromatography and mass spectrometry business contributed to mid-single digit growth in industrial/applied and low single-digit growth in academic/government. TMO launched next-generation Orbitrap platforms and an AI-driven Vanquish Amplify UPLC system at ASMS in June, noting “strong adoption of high-end instrumentation” globally. This is a direct positive read-through for WAT’s LC-MS instrument business, confirming healthy capital spending in analytical instruments across pharma and industrial end markets.</w:t>
      </w:r>
    </w:p>
    <w:p>
      <w:r>
        <w:rPr>
          <w:rFonts w:ascii="Calibri" w:hAnsi="Calibri"/>
          <w:b/>
          <w:color w:val="525866"/>
          <w:sz w:val="22"/>
        </w:rPr>
        <w:t xml:space="preserve">Bioproduction Consumables — </w:t>
      </w:r>
      <w:r>
        <w:rPr>
          <w:rFonts w:ascii="Calibri" w:hAnsi="Calibri"/>
          <w:b/>
          <w:color w:val="30A46C"/>
          <w:sz w:val="22"/>
        </w:rPr>
        <w:t xml:space="preserve">Bullish Read-Through: </w:t>
      </w:r>
      <w:r>
        <w:rPr>
          <w:rFonts w:ascii="Calibri" w:hAnsi="Calibri"/>
          <w:color w:val="525866"/>
          <w:sz w:val="22"/>
        </w:rPr>
        <w:t xml:space="preserve"> TMO’s bioproduction business achieved “excellent organic growth” in Q2, with Dyna Drive single-use bioreactors “becoming more and more standardized across the CDMO landscape.” The resin business is “doing well” and has “won a lot of new molecules.” TMO is increasing capacity in filtration and separation due to strong demand. This is a positive read-through for WAT’s chemistry consumables business, particularly bioseparations columns and resins used in biologics manufacturing.</w:t>
      </w:r>
    </w:p>
    <w:p>
      <w:r>
        <w:rPr>
          <w:rFonts w:ascii="Calibri" w:hAnsi="Calibri"/>
          <w:b/>
          <w:color w:val="525866"/>
          <w:sz w:val="22"/>
        </w:rPr>
        <w:t xml:space="preserve">China — </w:t>
      </w:r>
      <w:r>
        <w:rPr>
          <w:rFonts w:ascii="Calibri" w:hAnsi="Calibri"/>
          <w:b/>
          <w:color w:val="525866"/>
          <w:sz w:val="22"/>
        </w:rPr>
        <w:t xml:space="preserve">Mixed Read-Through: </w:t>
      </w:r>
      <w:r>
        <w:rPr>
          <w:rFonts w:ascii="Calibri" w:hAnsi="Calibri"/>
          <w:color w:val="525866"/>
          <w:sz w:val="22"/>
        </w:rPr>
        <w:t xml:space="preserve"> TMO reported China returned to “low single digits” growth in Q2, driven by pharma/biotech and industrial/applied, but the academic/government sector within China “remains quite muted.” TMO expects China to progress “a little bit better” but notes it is “still not accretive to our organic growth as a company yet.” For WAT, this is a mixed signal: the pharma/biotech China recovery is consistent with WAT’s own 50%+ China pharma growth in Q1, but the academic/government softness is a reminder that not all China end markets are recovering equally.</w:t>
      </w:r>
    </w:p>
    <w:p>
      <w:r>
        <w:rPr>
          <w:rFonts w:ascii="Calibri" w:hAnsi="Calibri"/>
          <w:b/>
          <w:color w:val="525866"/>
          <w:sz w:val="22"/>
        </w:rPr>
        <w:t xml:space="preserve">Academic/Government — </w:t>
      </w:r>
      <w:r>
        <w:rPr>
          <w:rFonts w:ascii="Calibri" w:hAnsi="Calibri"/>
          <w:b/>
          <w:color w:val="E5484D"/>
          <w:sz w:val="22"/>
        </w:rPr>
        <w:t xml:space="preserve">Cautionary Read-Through: </w:t>
      </w:r>
      <w:r>
        <w:rPr>
          <w:rFonts w:ascii="Calibri" w:hAnsi="Calibri"/>
          <w:color w:val="525866"/>
          <w:sz w:val="22"/>
        </w:rPr>
        <w:t xml:space="preserve"> TMO reported academic/government returned to “low single digit growth” in Q2, which it described as a “positive quarter,” but explicitly stated it is “not calling a new trend” and believes the market is still in a “stabilization period.” This is a cautionary read-through for WAT’s academic/government segment, which grew high-teens in Q1 (partly a recovery from prior weakness). A return to more normalized, low-single-digit academic growth in Q2 would be consistent with TMO’s commentary.</w:t>
      </w:r>
    </w:p>
    <w:p>
      <w:r>
        <w:rPr>
          <w:rFonts w:ascii="Calibri" w:hAnsi="Calibri"/>
          <w:b/>
          <w:color w:val="525866"/>
          <w:sz w:val="22"/>
        </w:rPr>
        <w:t xml:space="preserve">Guidance Raised — </w:t>
      </w:r>
      <w:r>
        <w:rPr>
          <w:rFonts w:ascii="Calibri" w:hAnsi="Calibri"/>
          <w:b/>
          <w:color w:val="30A46C"/>
          <w:sz w:val="22"/>
        </w:rPr>
        <w:t xml:space="preserve">Bullish Macro Read-Through: </w:t>
      </w:r>
      <w:r>
        <w:rPr>
          <w:rFonts w:ascii="Calibri" w:hAnsi="Calibri"/>
          <w:color w:val="525866"/>
          <w:sz w:val="22"/>
        </w:rPr>
        <w:t xml:space="preserve"> TMO raised its full-year 2026 organic revenue growth guidance to the upper end of its 3%–4% range, with H2 organic growth expected to step up to ~4%, driven primarily by pharma and biotech. Full-year EPS guidance was also raised. This broad-based guidance raise from the largest life sciences tools company is a positive macro read-through for the sector and for WAT’s own raised guidance.</w:t>
      </w:r>
    </w:p>
    <w:p>
      <w:pPr>
        <w:pStyle w:val="Heading3"/>
      </w:pPr>
      <w:r>
        <w:rPr>
          <w:rFonts w:ascii="Calibri" w:hAnsi="Calibri"/>
          <w:b/>
          <w:color w:val="3B4259"/>
          <w:sz w:val="24"/>
        </w:rPr>
        <w:t>Illumina (ILMN) — Q2 2026 Earnings (Reported July 30, 2026)</w:t>
      </w:r>
    </w:p>
    <w:p>
      <w:r>
        <w:rPr>
          <w:rFonts w:ascii="Calibri" w:hAnsi="Calibri"/>
          <w:b/>
          <w:color w:val="525866"/>
          <w:sz w:val="22"/>
        </w:rPr>
        <w:t xml:space="preserve">Clinical &amp; Biopharma Demand — </w:t>
      </w:r>
      <w:r>
        <w:rPr>
          <w:rFonts w:ascii="Calibri" w:hAnsi="Calibri"/>
          <w:b/>
          <w:color w:val="30A46C"/>
          <w:sz w:val="22"/>
        </w:rPr>
        <w:t xml:space="preserve">Bullish Read-Through: </w:t>
      </w:r>
      <w:r>
        <w:rPr>
          <w:rFonts w:ascii="Calibri" w:hAnsi="Calibri"/>
          <w:color w:val="525866"/>
          <w:sz w:val="22"/>
        </w:rPr>
        <w:t xml:space="preserve"> ILMN reported Q2 2026 revenue of $1.16B, up 9.5% YoY and 6.5% organically, with management describing it as “revenue growing at the fastest rate since I joined the company.” Clinical markets (approximately 65% of sequencing consumables) grew 15% ex-China, with the US/Canada region growing above 20%. Oncology “continues to lead the pack,” and biopharma interest in multi-omics data and AI-enabled drug discovery is growing. ILMN raised its full-year organic revenue growth guidance to greater than 5% (from 2%–4%). This is a positive read-through for WAT’s clinical and biopharma-facing businesses, including the BD Advanced Diagnostics division and the Analytical Sciences Division’s pharma segment.</w:t>
      </w:r>
    </w:p>
    <w:p>
      <w:r>
        <w:rPr>
          <w:rFonts w:ascii="Calibri" w:hAnsi="Calibri"/>
          <w:b/>
          <w:color w:val="525866"/>
          <w:sz w:val="22"/>
        </w:rPr>
        <w:t xml:space="preserve">Instruments (Capital Equipment) — </w:t>
      </w:r>
      <w:r>
        <w:rPr>
          <w:rFonts w:ascii="Calibri" w:hAnsi="Calibri"/>
          <w:b/>
          <w:color w:val="30A46C"/>
          <w:sz w:val="22"/>
        </w:rPr>
        <w:t xml:space="preserve">Bullish Read-Through: </w:t>
      </w:r>
      <w:r>
        <w:rPr>
          <w:rFonts w:ascii="Calibri" w:hAnsi="Calibri"/>
          <w:color w:val="525866"/>
          <w:sz w:val="22"/>
        </w:rPr>
        <w:t xml:space="preserve"> ILMN placed over 95 Novaseq X instruments in Q2, with “strong demand from largest clinical customers” including multi-unit capacity expansion orders. Sequencing instruments revenue grew 31% YoY. Low-throughput instruments are “very strong right now.” This elevated instrument placement activity signals healthy capital spending by clinical customers, a positive read-through for WAT’s instrument business.</w:t>
      </w:r>
    </w:p>
    <w:p>
      <w:r>
        <w:rPr>
          <w:rFonts w:ascii="Calibri" w:hAnsi="Calibri"/>
          <w:b/>
          <w:color w:val="525866"/>
          <w:sz w:val="22"/>
        </w:rPr>
        <w:t xml:space="preserve">Academic/Government — </w:t>
      </w:r>
      <w:r>
        <w:rPr>
          <w:rFonts w:ascii="Calibri" w:hAnsi="Calibri"/>
          <w:b/>
          <w:color w:val="E5484D"/>
          <w:sz w:val="22"/>
        </w:rPr>
        <w:t xml:space="preserve">Cautionary Read-Through: </w:t>
      </w:r>
      <w:r>
        <w:rPr>
          <w:rFonts w:ascii="Calibri" w:hAnsi="Calibri"/>
          <w:color w:val="525866"/>
          <w:sz w:val="22"/>
        </w:rPr>
        <w:t xml:space="preserve"> ILMN reported that academic/government results “improved from Q1, but customers remain cautious as they navigate funding uncertainty.” Research and applied consumables declined 7%. ILMN noted “some signs of improvement late in the quarter, but it’s too early to call a recovery.” This is the most cautionary read-through for WAT’s academic/government segment, suggesting that the high-teens growth WAT reported in Q1 may not be sustained in Q2.</w:t>
      </w:r>
    </w:p>
    <w:p>
      <w:r>
        <w:rPr>
          <w:rFonts w:ascii="Calibri" w:hAnsi="Calibri"/>
          <w:b/>
          <w:color w:val="525866"/>
          <w:sz w:val="22"/>
        </w:rPr>
        <w:t xml:space="preserve">Cost Pressures — </w:t>
      </w:r>
      <w:r>
        <w:rPr>
          <w:rFonts w:ascii="Calibri" w:hAnsi="Calibri"/>
          <w:b/>
          <w:color w:val="E5484D"/>
          <w:sz w:val="22"/>
        </w:rPr>
        <w:t xml:space="preserve">Cautionary Read-Through: </w:t>
      </w:r>
      <w:r>
        <w:rPr>
          <w:rFonts w:ascii="Calibri" w:hAnsi="Calibri"/>
          <w:color w:val="525866"/>
          <w:sz w:val="22"/>
        </w:rPr>
        <w:t xml:space="preserve"> ILMN noted it “absorbed higher freight and memory costs in this quarter” and is “sharing some of that cost increase with customers.” This is a cautionary read-through for WAT’s gross margin, as similar freight and input cost pressures may be present in WAT’s supply chain, particularly for the newly acquired BD businesses.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3 FDA 510(k) clearance of BACTEC FXI in the U.S., completing the global regulatory approval trifecta (U.S., Europe, Japan) and unlocking the largest near-term revenue synergy vector — replacement of a 12,000-unit installed base, over 25% of which is more than 10 years old.</w:t>
      </w:r>
    </w:p>
    <w:p>
      <w:pPr>
        <w:pStyle w:val="ListBullet"/>
        <w:ind w:left="360" w:hanging="360"/>
      </w:pPr>
      <w:r>
        <w:rPr>
          <w:rFonts w:ascii="Calibri" w:hAnsi="Calibri"/>
          <w:b/>
          <w:color w:val="525866"/>
          <w:sz w:val="22"/>
        </w:rPr>
        <w:t xml:space="preserve">June 3, 2026 — BACTEC FXI Receives FDA 510(k) Clearance (U.S.): </w:t>
      </w:r>
      <w:r>
        <w:rPr>
          <w:rFonts w:ascii="Calibri" w:hAnsi="Calibri"/>
          <w:color w:val="525866"/>
          <w:sz w:val="22"/>
        </w:rPr>
        <w:t xml:space="preserve">Waters announced U.S. FDA clearance for the BACTEC FXI blood culture system at the Jefferies Healthcare Conference. The instrument was already approved in Europe and Japan. This completes the global regulatory approval trifecta and accelerates the instrument replacement program for the ~12,000-unit BACTEC installed base (&gt;50% over 5 years old, &gt;25% over 10 years old). </w:t>
      </w:r>
    </w:p>
    <w:p>
      <w:pPr>
        <w:pStyle w:val="ListBullet"/>
        <w:ind w:left="360" w:hanging="360"/>
      </w:pPr>
      <w:r>
        <w:rPr>
          <w:rFonts w:ascii="Calibri" w:hAnsi="Calibri"/>
          <w:i/>
          <w:color w:val="525866"/>
          <w:sz w:val="22"/>
        </w:rPr>
        <w:t xml:space="preserve">Implication: </w:t>
      </w:r>
      <w:r>
        <w:rPr>
          <w:rFonts w:ascii="Calibri" w:hAnsi="Calibri"/>
          <w:i/>
          <w:color w:val="525866"/>
          <w:sz w:val="22"/>
        </w:rPr>
        <w:t>Unlocks the largest single revenue synergy vector ($35M of BD revenue synergies for 2026 includes instrument replacement); management had already accelerated the U.S./European launch by 3–5 months vs. the inherited business case.</w:t>
      </w:r>
    </w:p>
    <w:p>
      <w:pPr>
        <w:pStyle w:val="ListBullet"/>
        <w:ind w:left="360" w:hanging="360"/>
      </w:pPr>
      <w:r>
        <w:rPr>
          <w:rFonts w:ascii="Calibri" w:hAnsi="Calibri"/>
          <w:b/>
          <w:color w:val="525866"/>
          <w:sz w:val="22"/>
        </w:rPr>
        <w:t xml:space="preserve">June 2026 — FACSDiscover A7 Spectral Flow Cytometer Unveiled at CYTO 2026: </w:t>
      </w:r>
      <w:r>
        <w:rPr>
          <w:rFonts w:ascii="Calibri" w:hAnsi="Calibri"/>
          <w:color w:val="525866"/>
          <w:sz w:val="22"/>
        </w:rPr>
        <w:t xml:space="preserve">Waters unveiled the FACSDiscover A7, a high-volume spectral flow cytometer targeting routine clinical applications, at the CYTO 2026 conference. Management guided for commercial launch in the “June/July time frame.” </w:t>
      </w:r>
    </w:p>
    <w:p>
      <w:pPr>
        <w:pStyle w:val="ListBullet"/>
        <w:ind w:left="360" w:hanging="360"/>
      </w:pPr>
      <w:r>
        <w:rPr>
          <w:rFonts w:ascii="Calibri" w:hAnsi="Calibri"/>
          <w:i/>
          <w:color w:val="525866"/>
          <w:sz w:val="22"/>
        </w:rPr>
        <w:t xml:space="preserve">Implication: </w:t>
      </w:r>
      <w:r>
        <w:rPr>
          <w:rFonts w:ascii="Calibri" w:hAnsi="Calibri"/>
          <w:i/>
          <w:color w:val="525866"/>
          <w:sz w:val="22"/>
        </w:rPr>
        <w:t>Addresses the key gap in the Biosciences Division’s product portfolio for high-volume routine flow cytometry; expected to drive instrument revenue in H2 2026 and consumables pull-through thereafter.</w:t>
      </w:r>
    </w:p>
    <w:p>
      <w:pPr>
        <w:pStyle w:val="ListBullet"/>
        <w:ind w:left="360" w:hanging="360"/>
      </w:pPr>
      <w:r>
        <w:rPr>
          <w:rFonts w:ascii="Calibri" w:hAnsi="Calibri"/>
          <w:b/>
          <w:color w:val="525866"/>
          <w:sz w:val="22"/>
        </w:rPr>
        <w:t xml:space="preserve">June 2026 (ASMS) — Xevo MRT P10 and Cyclic IMS P20 Launched: </w:t>
      </w:r>
      <w:r>
        <w:rPr>
          <w:rFonts w:ascii="Calibri" w:hAnsi="Calibri"/>
          <w:color w:val="525866"/>
          <w:sz w:val="22"/>
        </w:rPr>
        <w:t xml:space="preserve">Waters launched two new mass spectrometers at the American Society of Mass Spectrometry (ASMS) 2026 conference: the Xevo MRT P10 (positioned for proteomics, lipidomics, and metabolomics) and the Cyclic IMS P20. Management explicitly stated interest in proteomics as an emerging strategic ambition. </w:t>
      </w:r>
    </w:p>
    <w:p>
      <w:pPr>
        <w:pStyle w:val="ListBullet"/>
        <w:ind w:left="360" w:hanging="360"/>
      </w:pPr>
      <w:r>
        <w:rPr>
          <w:rFonts w:ascii="Calibri" w:hAnsi="Calibri"/>
          <w:i/>
          <w:color w:val="525866"/>
          <w:sz w:val="22"/>
        </w:rPr>
        <w:t xml:space="preserve">Implication: </w:t>
      </w:r>
      <w:r>
        <w:rPr>
          <w:rFonts w:ascii="Calibri" w:hAnsi="Calibri"/>
          <w:i/>
          <w:color w:val="525866"/>
          <w:sz w:val="22"/>
        </w:rPr>
        <w:t>Extends WAT’s mass spectrometry portfolio into high-growth proteomics applications; the Xevo MRT had already been adopted by a large Chinese CDMO for GLP-1 quality control — the first such use globally.</w:t>
      </w:r>
    </w:p>
    <w:p>
      <w:pPr>
        <w:pStyle w:val="ListBullet"/>
        <w:ind w:left="360" w:hanging="360"/>
      </w:pPr>
      <w:r>
        <w:rPr>
          <w:rFonts w:ascii="Calibri" w:hAnsi="Calibri"/>
          <w:b/>
          <w:color w:val="525866"/>
          <w:sz w:val="22"/>
        </w:rPr>
        <w:t xml:space="preserve">June 3, 2026 — Jefferies Global Healthcare Conference (CEO Udit Batra): </w:t>
      </w:r>
      <w:r>
        <w:rPr>
          <w:rFonts w:ascii="Calibri" w:hAnsi="Calibri"/>
          <w:color w:val="525866"/>
          <w:sz w:val="22"/>
        </w:rPr>
        <w:t xml:space="preserve">CEO Batra reaffirmed Q2 and full-year 2026 guidance without change, provided constructive color on BD integration progress (180-day plan “already showing benefit”), and disclosed that Europe reagent rental contract compliance review identified additional delinquency beyond the U.S. (double-digit million opportunity). </w:t>
      </w:r>
    </w:p>
    <w:p>
      <w:pPr>
        <w:pStyle w:val="ListBullet"/>
        <w:ind w:left="360" w:hanging="360"/>
      </w:pPr>
      <w:r>
        <w:rPr>
          <w:rFonts w:ascii="Calibri" w:hAnsi="Calibri"/>
          <w:i/>
          <w:color w:val="525866"/>
          <w:sz w:val="22"/>
        </w:rPr>
        <w:t xml:space="preserve">Implication: </w:t>
      </w:r>
      <w:r>
        <w:rPr>
          <w:rFonts w:ascii="Calibri" w:hAnsi="Calibri"/>
          <w:i/>
          <w:color w:val="525866"/>
          <w:sz w:val="22"/>
        </w:rPr>
        <w:t>No guidance change is a neutral signal; the Europe reagent rental delinquency discovery is an incremental positive for revenue synergy potential beyond the initial $35M target.</w:t>
      </w:r>
    </w:p>
    <w:p>
      <w:pPr>
        <w:pStyle w:val="ListBullet"/>
        <w:ind w:left="360" w:hanging="360"/>
      </w:pPr>
      <w:r>
        <w:rPr>
          <w:rFonts w:ascii="Calibri" w:hAnsi="Calibri"/>
          <w:b/>
          <w:color w:val="525866"/>
          <w:sz w:val="22"/>
        </w:rPr>
        <w:t xml:space="preserve">May 21, 2026 — Annual Meeting of Stockholders (8-K Filed May 22): </w:t>
      </w:r>
      <w:r>
        <w:rPr>
          <w:rFonts w:ascii="Calibri" w:hAnsi="Calibri"/>
          <w:color w:val="525866"/>
          <w:sz w:val="22"/>
        </w:rPr>
        <w:t xml:space="preserve">All 11 director nominees were re-elected; PricewaterhouseCoopers LLP ratified as auditor for FY2026; executive compensation advisory vote approved (76.6M for vs. 10.7M against). CEO Udit Batra received 87.1M votes for (99.9% approval). </w:t>
      </w:r>
    </w:p>
    <w:p>
      <w:pPr>
        <w:pStyle w:val="ListBullet"/>
        <w:ind w:left="360" w:hanging="360"/>
      </w:pPr>
      <w:r>
        <w:rPr>
          <w:rFonts w:ascii="Calibri" w:hAnsi="Calibri"/>
          <w:i/>
          <w:color w:val="525866"/>
          <w:sz w:val="22"/>
        </w:rPr>
        <w:t xml:space="preserve">Implication: </w:t>
      </w:r>
      <w:r>
        <w:rPr>
          <w:rFonts w:ascii="Calibri" w:hAnsi="Calibri"/>
          <w:i/>
          <w:color w:val="525866"/>
          <w:sz w:val="22"/>
        </w:rPr>
        <w:t>Routine governance event; high CEO approval rate signals strong board and shareholder confidence in management’s BD integration strategy.</w:t>
      </w:r>
    </w:p>
    <w:p>
      <w:pPr>
        <w:pStyle w:val="ListBullet"/>
        <w:ind w:left="360" w:hanging="360"/>
      </w:pPr>
      <w:r>
        <w:rPr>
          <w:rFonts w:ascii="Calibri" w:hAnsi="Calibri"/>
          <w:b/>
          <w:color w:val="525866"/>
          <w:sz w:val="22"/>
        </w:rPr>
        <w:t xml:space="preserve">July 21–30, 2026 — Peer Earnings (DHR, TMO, ILMN): </w:t>
      </w:r>
      <w:r>
        <w:rPr>
          <w:rFonts w:ascii="Calibri" w:hAnsi="Calibri"/>
          <w:color w:val="525866"/>
          <w:sz w:val="22"/>
        </w:rPr>
        <w:t xml:space="preserve">All three major life sciences tools peers reported Q2 2026 results and raised full-year guidance, confirming a strengthening pharma/biotech demand environment. DHR flagged chromatography resin push-outs; TMO highlighted strong analytical instrument adoption; ILMN reported fastest revenue growth since CEO tenure began. </w:t>
      </w:r>
    </w:p>
    <w:p>
      <w:pPr>
        <w:pStyle w:val="ListBullet"/>
        <w:ind w:left="360" w:hanging="360"/>
      </w:pPr>
      <w:r>
        <w:rPr>
          <w:rFonts w:ascii="Calibri" w:hAnsi="Calibri"/>
          <w:i/>
          <w:color w:val="525866"/>
          <w:sz w:val="22"/>
        </w:rPr>
        <w:t xml:space="preserve">Implication: </w:t>
      </w:r>
      <w:r>
        <w:rPr>
          <w:rFonts w:ascii="Calibri" w:hAnsi="Calibri"/>
          <w:i/>
          <w:color w:val="525866"/>
          <w:sz w:val="22"/>
        </w:rPr>
        <w:t>Broad-based sector guidance raises are a positive macro read-through for WAT’s Q2 print; the DHR resin push-out is the primary cautionary data point for WAT’s chemistry consumables.</w:t>
      </w:r>
    </w:p>
    <w:p>
      <w:pPr>
        <w:pStyle w:val="ListBullet"/>
        <w:ind w:left="360" w:hanging="360"/>
      </w:pPr>
      <w:r>
        <w:rPr>
          <w:rFonts w:ascii="Calibri" w:hAnsi="Calibri"/>
          <w:b/>
          <w:color w:val="525866"/>
          <w:sz w:val="22"/>
        </w:rPr>
        <w:t xml:space="preserve">Ongoing — China Localization of Flow Instruments (Suzhou Site): </w:t>
      </w:r>
      <w:r>
        <w:rPr>
          <w:rFonts w:ascii="Calibri" w:hAnsi="Calibri"/>
          <w:color w:val="525866"/>
          <w:sz w:val="22"/>
        </w:rPr>
        <w:t xml:space="preserve">Waters initiated manufacturing of flow cytometers for China at its Suzhou site, with first orders from locally made instruments expected in Q3 2026. Locally made BACTEC FXI instruments to follow. </w:t>
      </w:r>
    </w:p>
    <w:p>
      <w:pPr>
        <w:pStyle w:val="ListBullet"/>
        <w:ind w:left="360" w:hanging="360"/>
      </w:pPr>
      <w:r>
        <w:rPr>
          <w:rFonts w:ascii="Calibri" w:hAnsi="Calibri"/>
          <w:i/>
          <w:color w:val="525866"/>
          <w:sz w:val="22"/>
        </w:rPr>
        <w:t xml:space="preserve">Implication: </w:t>
      </w:r>
      <w:r>
        <w:rPr>
          <w:rFonts w:ascii="Calibri" w:hAnsi="Calibri"/>
          <w:i/>
          <w:color w:val="525866"/>
          <w:sz w:val="22"/>
        </w:rPr>
        <w:t>Removes a key competitive handicap in China for the Biosciences Division; management expects this to drive market share recovery in flow research, where export restrictions of high-parameter products had been a headwind.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WAT in the period since Q1 2026 earnings (May 5, 2026 through August 3, 2026). The absence of insider buying is not unusual given the stock’s recovery from post-Q4 2025 lows and the proximity to the Q2 earnings blackout window; the absence of discretionary selling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via SEC Form 4 filings in the May 5 – August 3, 2026 window.</w:t>
            </w:r>
          </w:p>
        </w:tc>
      </w:tr>
    </w:tbl>
    <w:p>
      <w:r>
        <w:rPr>
          <w:rFonts w:ascii="Calibri" w:hAnsi="Calibri"/>
          <w:i/>
          <w:color w:val="525866"/>
          <w:sz w:val="22"/>
        </w:rPr>
        <w:t xml:space="preserve">Source: SEC Form 4 Filings Database. </w:t>
      </w:r>
      <w:r>
        <w:rPr>
          <w:rFonts w:ascii="Calibri" w:hAnsi="Calibri"/>
          <w:i/>
          <w:color w:val="525866"/>
          <w:sz w:val="22"/>
        </w:rPr>
        <w:t>Open-market buys (code P) and open-market sales (code S) were queried for WAT insiders for the period May 5, 2026 through August 3, 2026. No transactions matching these codes were returned. Routine equity award grants (code A) and tax-withholding dispositions are excluded per methodology. The absence of insider activity in the pre-earnings blackout window is consistent with standard corporate policy and does not carry a directional signal.</w:t>
      </w:r>
    </w:p>
    <w:p>
      <w:r>
        <w:br w:type="page"/>
      </w:r>
    </w:p>
    <w:p>
      <w:pPr>
        <w:pStyle w:val="Heading2"/>
      </w:pPr>
      <w:r>
        <w:rPr>
          <w:rFonts w:ascii="Calibri" w:hAnsi="Calibri"/>
          <w:b/>
          <w:color w:val="3B4259"/>
          <w:sz w:val="28"/>
        </w:rPr>
        <w:t>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1-Month Ago</w:t>
            </w:r>
          </w:p>
        </w:tc>
        <w:tc>
          <w:tcPr>
            <w:tcW w:type="dxa" w:w="1728"/>
            <w:shd w:val="clear" w:color="auto" w:fill="3B4259"/>
          </w:tcPr>
          <w:p>
            <w:r>
              <w:rPr>
                <w:rFonts w:ascii="Calibri" w:hAnsi="Calibri"/>
                <w:b/>
                <w:color w:val="FFFFFF"/>
                <w:sz w:val="22"/>
              </w:rPr>
              <w:t>3-Months Ago</w:t>
            </w:r>
          </w:p>
        </w:tc>
        <w:tc>
          <w:tcPr>
            <w:tcW w:type="dxa" w:w="1728"/>
            <w:shd w:val="clear" w:color="auto" w:fill="3B4259"/>
          </w:tcPr>
          <w:p>
            <w:r>
              <w:rPr>
                <w:rFonts w:ascii="Calibri" w:hAnsi="Calibri"/>
                <w:b/>
                <w:color w:val="FFFFFF"/>
                <w:sz w:val="22"/>
              </w:rPr>
              <w:t>12-Months Ago</w:t>
            </w:r>
          </w:p>
        </w:tc>
      </w:tr>
      <w:tr>
        <w:tc>
          <w:tcPr>
            <w:tcW w:type="dxa" w:w="1728"/>
          </w:tcPr>
          <w:p>
            <w:r>
              <w:rPr>
                <w:rFonts w:ascii="Calibri" w:hAnsi="Calibri"/>
                <w:sz w:val="22"/>
              </w:rPr>
              <w:t>EV / EBITDA</w:t>
            </w:r>
          </w:p>
        </w:tc>
        <w:tc>
          <w:tcPr>
            <w:tcW w:type="dxa" w:w="1728"/>
          </w:tcPr>
          <w:p>
            <w:r>
              <w:rPr>
                <w:rFonts w:ascii="Calibri" w:hAnsi="Calibri"/>
                <w:sz w:val="22"/>
              </w:rPr>
              <w:t>16.2x</w:t>
            </w:r>
          </w:p>
        </w:tc>
        <w:tc>
          <w:tcPr>
            <w:tcW w:type="dxa" w:w="1728"/>
          </w:tcPr>
          <w:p>
            <w:r>
              <w:rPr>
                <w:rFonts w:ascii="Calibri" w:hAnsi="Calibri"/>
                <w:sz w:val="22"/>
              </w:rPr>
              <w:t>16.8x</w:t>
            </w:r>
          </w:p>
        </w:tc>
        <w:tc>
          <w:tcPr>
            <w:tcW w:type="dxa" w:w="1728"/>
          </w:tcPr>
          <w:p>
            <w:r>
              <w:rPr>
                <w:rFonts w:ascii="Calibri" w:hAnsi="Calibri"/>
                <w:sz w:val="22"/>
              </w:rPr>
              <w:t>15.1x</w:t>
            </w:r>
          </w:p>
        </w:tc>
        <w:tc>
          <w:tcPr>
            <w:tcW w:type="dxa" w:w="1728"/>
          </w:tcPr>
          <w:p>
            <w:r>
              <w:rPr>
                <w:rFonts w:ascii="Calibri" w:hAnsi="Calibri"/>
                <w:sz w:val="22"/>
              </w:rPr>
              <w:t>16.3x</w:t>
            </w:r>
          </w:p>
        </w:tc>
      </w:tr>
      <w:tr>
        <w:tc>
          <w:tcPr>
            <w:tcW w:type="dxa" w:w="1728"/>
          </w:tcPr>
          <w:p>
            <w:r>
              <w:rPr>
                <w:rFonts w:ascii="Calibri" w:hAnsi="Calibri"/>
                <w:sz w:val="22"/>
              </w:rPr>
              <w:t>P / E (NTM)</w:t>
            </w:r>
          </w:p>
        </w:tc>
        <w:tc>
          <w:tcPr>
            <w:tcW w:type="dxa" w:w="1728"/>
          </w:tcPr>
          <w:p>
            <w:r>
              <w:rPr>
                <w:rFonts w:ascii="Calibri" w:hAnsi="Calibri"/>
                <w:sz w:val="22"/>
              </w:rPr>
              <w:t>24.1x</w:t>
            </w:r>
          </w:p>
        </w:tc>
        <w:tc>
          <w:tcPr>
            <w:tcW w:type="dxa" w:w="1728"/>
          </w:tcPr>
          <w:p>
            <w:r>
              <w:rPr>
                <w:rFonts w:ascii="Calibri" w:hAnsi="Calibri"/>
                <w:sz w:val="22"/>
              </w:rPr>
              <w:t>24.4x</w:t>
            </w:r>
          </w:p>
        </w:tc>
        <w:tc>
          <w:tcPr>
            <w:tcW w:type="dxa" w:w="1728"/>
          </w:tcPr>
          <w:p>
            <w:r>
              <w:rPr>
                <w:rFonts w:ascii="Calibri" w:hAnsi="Calibri"/>
                <w:sz w:val="22"/>
              </w:rPr>
              <w:t>20.6x</w:t>
            </w:r>
          </w:p>
        </w:tc>
        <w:tc>
          <w:tcPr>
            <w:tcW w:type="dxa" w:w="1728"/>
          </w:tcPr>
          <w:p>
            <w:r>
              <w:rPr>
                <w:rFonts w:ascii="Calibri" w:hAnsi="Calibri"/>
                <w:sz w:val="22"/>
              </w:rPr>
              <w:t>21.9x</w:t>
            </w:r>
          </w:p>
        </w:tc>
      </w:tr>
      <w:tr>
        <w:tc>
          <w:tcPr>
            <w:tcW w:type="dxa" w:w="1728"/>
          </w:tcPr>
          <w:p>
            <w:r>
              <w:rPr>
                <w:rFonts w:ascii="Calibri" w:hAnsi="Calibri"/>
                <w:sz w:val="22"/>
              </w:rPr>
              <w:t>EV / Sales</w:t>
            </w:r>
          </w:p>
        </w:tc>
        <w:tc>
          <w:tcPr>
            <w:tcW w:type="dxa" w:w="1728"/>
          </w:tcPr>
          <w:p>
            <w:r>
              <w:rPr>
                <w:rFonts w:ascii="Calibri" w:hAnsi="Calibri"/>
                <w:sz w:val="22"/>
              </w:rPr>
              <w:t>6.1x</w:t>
            </w:r>
          </w:p>
        </w:tc>
        <w:tc>
          <w:tcPr>
            <w:tcW w:type="dxa" w:w="1728"/>
          </w:tcPr>
          <w:p>
            <w:r>
              <w:rPr>
                <w:rFonts w:ascii="Calibri" w:hAnsi="Calibri"/>
                <w:sz w:val="22"/>
              </w:rPr>
              <w:t>6.2x</w:t>
            </w:r>
          </w:p>
        </w:tc>
        <w:tc>
          <w:tcPr>
            <w:tcW w:type="dxa" w:w="1728"/>
          </w:tcPr>
          <w:p>
            <w:r>
              <w:rPr>
                <w:rFonts w:ascii="Calibri" w:hAnsi="Calibri"/>
                <w:sz w:val="22"/>
              </w:rPr>
              <w:t>4.8x</w:t>
            </w:r>
          </w:p>
        </w:tc>
        <w:tc>
          <w:tcPr>
            <w:tcW w:type="dxa" w:w="1728"/>
          </w:tcPr>
          <w:p>
            <w:r>
              <w:rPr>
                <w:rFonts w:ascii="Calibri" w:hAnsi="Calibri"/>
                <w:sz w:val="22"/>
              </w:rPr>
              <w:t>5.9x</w:t>
            </w:r>
          </w:p>
        </w:tc>
      </w:tr>
      <w:tr>
        <w:tc>
          <w:tcPr>
            <w:tcW w:type="dxa" w:w="1728"/>
          </w:tcPr>
          <w:p>
            <w:r>
              <w:rPr>
                <w:rFonts w:ascii="Calibri" w:hAnsi="Calibri"/>
                <w:sz w:val="22"/>
              </w:rPr>
              <w:t>P / FCF</w:t>
            </w:r>
          </w:p>
        </w:tc>
        <w:tc>
          <w:tcPr>
            <w:tcW w:type="dxa" w:w="1728"/>
          </w:tcPr>
          <w:p>
            <w:r>
              <w:rPr>
                <w:rFonts w:ascii="Calibri" w:hAnsi="Calibri"/>
                <w:sz w:val="22"/>
              </w:rPr>
              <w:t>30.3x</w:t>
            </w:r>
          </w:p>
        </w:tc>
        <w:tc>
          <w:tcPr>
            <w:tcW w:type="dxa" w:w="1728"/>
          </w:tcPr>
          <w:p>
            <w:r>
              <w:rPr>
                <w:rFonts w:ascii="Calibri" w:hAnsi="Calibri"/>
                <w:sz w:val="22"/>
              </w:rPr>
              <w:t>32.2x</w:t>
            </w:r>
          </w:p>
        </w:tc>
        <w:tc>
          <w:tcPr>
            <w:tcW w:type="dxa" w:w="1728"/>
          </w:tcPr>
          <w:p>
            <w:r>
              <w:rPr>
                <w:rFonts w:ascii="Calibri" w:hAnsi="Calibri"/>
                <w:sz w:val="22"/>
              </w:rPr>
              <w:t>26.4x</w:t>
            </w:r>
          </w:p>
        </w:tc>
        <w:tc>
          <w:tcPr>
            <w:tcW w:type="dxa" w:w="1728"/>
          </w:tcPr>
          <w:p>
            <w:r>
              <w:rPr>
                <w:rFonts w:ascii="Calibri" w:hAnsi="Calibri"/>
                <w:sz w:val="22"/>
              </w:rPr>
              <w:t>19.8x</w:t>
            </w:r>
          </w:p>
        </w:tc>
      </w:tr>
    </w:tbl>
    <w:p>
      <w:r>
        <w:rPr>
          <w:rFonts w:ascii="Calibri" w:hAnsi="Calibri"/>
          <w:i/>
          <w:color w:val="525866"/>
          <w:sz w:val="22"/>
        </w:rPr>
        <w:t xml:space="preserve">Source: Stock Performance Decomposition Data (Implied). </w:t>
      </w:r>
      <w:r>
        <w:rPr>
          <w:rFonts w:ascii="Calibri" w:hAnsi="Calibri"/>
          <w:i/>
          <w:color w:val="525866"/>
          <w:sz w:val="22"/>
        </w:rPr>
        <w:t>WAT trades at 16.2x NTM EV/EBITDA and 24.1x NTM P/E, a premium to the broader healthcare sector (XLV). The 3-month +22% stock move was driven primarily by multiple expansion (+7.4% EV/EBITDA) rather than estimate revisions, which were essentially flat over the same period. The 12-month P/FCF expansion from 19.8x to 30.3x (+53%) reflects the market pricing in BD integration optionality and the combined company’s free cash flow generation potential. At current multiples, the stock is pricing in successful synergy delivery and sustained above-market growth — leaving limited room for execution disappointment.</w:t>
      </w:r>
    </w:p>
    <w:p>
      <w:r>
        <w:rPr>
          <w:rFonts w:ascii="Calibri" w:hAnsi="Calibri"/>
          <w:b/>
          <w:color w:val="525866"/>
          <w:sz w:val="22"/>
        </w:rPr>
        <w:t xml:space="preserve">Disclosures: </w:t>
      </w:r>
      <w:r>
        <w:rPr>
          <w:rFonts w:ascii="Calibri" w:hAnsi="Calibri"/>
          <w:i/>
          <w:color w:val="525866"/>
          <w:sz w:val="22"/>
        </w:rPr>
        <w:t>This document is prepared for informational purposes only. All financial data sourced from Visible Alpha Consensus and Actuals Data, Yahoo Finance, SEC EDGAR Form 4 filings, and company earnings transcripts/press releases as cited. Consensus estimates reflect Visible Alpha as of August 3, 2026. Guidance figures sourced from the Waters Corporation Q1 2026 Earnings Call (May 5, 2026) and Jefferies Global Healthcare Conference transcript (June 3, 2026). Peer commentary sourced from DHR Q2 2026 Earnings Call (July 21, 2026), TMO Q2 2026 Earnings Call (July 23, 2026), and ILMN Q2 2026 Earnings Call (July 30, 2026). Stock price data sourced from Yahoo Finance.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