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bd-earnings-predictions--2026-08-06"/>
    <w:p>
      <w:pPr>
        <w:pStyle w:val="Heading1"/>
      </w:pPr>
      <w:r>
        <w:t xml:space="preserve">WBD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Global streaming (HBO Max) subscribers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~147M vs. cons ~145M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Streaming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560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490M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Adjusted EBITDA (Studios tough comp + GLN decline)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1.95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2.05B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HBO Max global subscribers reaffirm (FY2026 year-end)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&gt;150M vs. cons ~150M (FY2026 YE)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WB Studios annual Adjusted EBITDA target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2.9B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 cash flow / transaction-cost drag (FY2026)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-0.5% (STABILIZE)</w:t>
            </w:r>
          </w:p>
        </w:tc>
        <w:tc>
          <w:tcPr/>
          <w:p>
            <w:pPr>
              <w:pStyle w:val="Compact"/>
            </w:pPr>
            <w:r>
              <w:t xml:space="preserve">WBD trades as a merger-arb name (~$26 vs. $31 offer, ~50/50 implied odds), so the print is secondary to deal-odds headlines (March 2027 trial, Newsom/Bonta settlement push, $7B breakup-fee floor). A clean streaming beat modestly firms the standalone-break floor and drives a small day-1 pop, but total EBITDA misses on the brutal Studios comp and ugly FCF, so out-period standalone estimates get trimmed even after the beat. Net revisions roughly neutral; any pop fades and the stock re-anchors to the arb spread — hence stabilize rather than follow-through.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2026-08-06T00:05:17Z</dcterms:created>
  <dcterms:modified xsi:type="dcterms:W3CDTF">2026-08-06T00:05:17Z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