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bd-earnings-predictions--2026-08-06"/>
    <w:p>
      <w:pPr>
        <w:pStyle w:val="Heading1"/>
      </w:pPr>
      <w:r>
        <w:t xml:space="preserve">WBD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0.20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0.13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~$9.10B vs. cons $9.24B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Streaming (HBO Max)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~$560M vs. cons $520M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guidance/implied consensus path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~-</w:t>
            </w:r>
            <m:oMath>
              <m:r>
                <m:t>1.20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1.07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Global Streaming Subscribers target, YE2026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~155M vs. cons 150M (YE2026)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Studios Adjusted EBITDA, FY2026 (vs. 2025 'in-line' framing)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~$2.9B vs. cons $3.0B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conversion range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~33%-50% vs. cons ~40%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WBD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-0.7% (STABILIZE)</w:t>
            </w:r>
          </w:p>
        </w:tc>
        <w:tc>
          <w:tcPr/>
          <w:p>
            <w:pPr>
              <w:pStyle w:val="Compact"/>
            </w:pPr>
            <w:r>
              <w:t xml:space="preserve">Headline EPS miss is driven almost entirely by recognizable, non-recurring deal-related cash costs (advisory fees, bridge financing interest, tax leakage) rather than core deterioration, and Streaming EBITDA beat plus reaffirmed 150M+ subscriber trajectory should reassure on the standalone story; but Studios guidance staying merely 'in-line' with 2025 caps upward estimate revisions, so out-period numbers don't move much either way. With deal-question moratorium on the call and the Paramount litigation/trial timeline (paused to June 2027, trial March 2027) remaining the dominant driver of price action, the stock should stabilize near its post-print level over the following days rather than extending a large idiosyncratic move, as trading reverts to being driven by antitrust-litigation headlines rather than the quarter's fundamentals.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2026-08-06T00:04:53Z</dcterms:created>
  <dcterms:modified xsi:type="dcterms:W3CDTF">2026-08-06T00:04:53Z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