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9" w:name="X7975a45d730a3902d9d3834ca3838f08b4102ee"/>
    <w:p>
      <w:pPr>
        <w:pStyle w:val="Heading1"/>
      </w:pPr>
      <w:r>
        <w:t xml:space="preserve">Warner Bros. Discovery (WBD) — Q2 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Thursday, August 6, 2026, before market open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8:00 a.m. ET</w:t>
      </w:r>
    </w:p>
    <w:bookmarkStart w:id="9" w:name="X1b42d19e66760021099cb740cef13e34ef7a5f6"/>
    <w:p>
      <w:pPr>
        <w:pStyle w:val="Heading2"/>
      </w:pPr>
      <w:r>
        <w:t xml:space="preserve">The Setup: An Earnings Report That's Almost Beside the Point</w:t>
      </w:r>
    </w:p>
    <w:p>
      <w:pPr>
        <w:pStyle w:val="FirstParagraph"/>
      </w:pPr>
      <w:r>
        <w:t xml:space="preserve">WBD's Q2 print arrives with the company's operating results largely overshadowed by the fate of its $31-per-share, roughly</w:t>
      </w:r>
      <w:r>
        <w:t xml:space="preserve"> </w:t>
      </w:r>
      <m:oMath>
        <m:r>
          <m:t>110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a</m:t>
        </m:r>
        <m:r>
          <m:t>l</m:t>
        </m:r>
        <m:r>
          <m:t>l</m:t>
        </m:r>
        <m:r>
          <m:rPr>
            <m:sty m:val="p"/>
          </m:rPr>
          <m:t>−</m:t>
        </m:r>
        <m:r>
          <m:t>c</m:t>
        </m:r>
        <m:r>
          <m:t>a</m:t>
        </m:r>
        <m:r>
          <m:t>s</m:t>
        </m:r>
        <m:r>
          <m:t>h</m:t>
        </m:r>
        <m:r>
          <m:t>a</m:t>
        </m:r>
        <m:r>
          <m:t>c</m:t>
        </m:r>
        <m:r>
          <m:t>q</m:t>
        </m:r>
        <m:r>
          <m:t>u</m:t>
        </m:r>
        <m:r>
          <m:t>i</m:t>
        </m:r>
        <m:r>
          <m:t>s</m:t>
        </m:r>
        <m:r>
          <m:t>i</m:t>
        </m:r>
        <m:r>
          <m:t>t</m:t>
        </m:r>
        <m:r>
          <m:t>i</m:t>
        </m:r>
        <m:r>
          <m:t>o</m:t>
        </m:r>
        <m:r>
          <m:t>n</m:t>
        </m:r>
        <m:r>
          <m:t>b</m:t>
        </m:r>
        <m:r>
          <m:t>y</m:t>
        </m:r>
        <m:r>
          <m:t>P</m:t>
        </m:r>
        <m:r>
          <m:t>a</m:t>
        </m:r>
        <m:r>
          <m:t>r</m:t>
        </m:r>
        <m:r>
          <m:t>a</m:t>
        </m:r>
        <m:r>
          <m:t>m</m:t>
        </m:r>
        <m:r>
          <m:t>o</m:t>
        </m:r>
        <m:r>
          <m:t>u</m:t>
        </m:r>
        <m:r>
          <m:t>n</m:t>
        </m:r>
        <m:r>
          <m:t>t</m:t>
        </m:r>
        <m:r>
          <m:t>S</m:t>
        </m:r>
        <m:r>
          <m:t>k</m:t>
        </m:r>
        <m:r>
          <m:t>y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c</m:t>
        </m:r>
        <m:r>
          <m:t>l</m:t>
        </m:r>
        <m:r>
          <m:t>o</m:t>
        </m:r>
        <m:r>
          <m:t>s</m:t>
        </m:r>
        <m:r>
          <m:t>e</m:t>
        </m:r>
        <m:r>
          <m:t>d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25.99 on August 5**, roughly 16% below the deal price — a gap that reflects genuine market uncertainty about whether the transaction closes at all, rather than a pure reflection of underlying business value. Barron's has characterized the market as pricing in</w:t>
      </w:r>
      <w:r>
        <w:t xml:space="preserve"> </w:t>
      </w:r>
      <w:r>
        <w:rPr>
          <w:b/>
          <w:bCs/>
        </w:rPr>
        <w:t xml:space="preserve">roughly 50/50 odds of the deal getting done</w:t>
      </w:r>
      <w:r>
        <w:t xml:space="preserve">, and some WBD executives are reportedly hoping the states' lawsuit derails the transaction outright.</w:t>
      </w:r>
    </w:p>
    <w:p>
      <w:pPr>
        <w:pStyle w:val="BodyText"/>
      </w:pPr>
      <w:r>
        <w:t xml:space="preserve">Management does not plan to take deal-related questions on the call (as was the case in Q1), so investors should focus this quarter's commentary on the standalone operating trajectory — streaming momentum, Studios comps, linear erosion, free cash flow and leverage — while treating the M&amp;A/litigation timeline as a separate, binary overlay on the stock.</w:t>
      </w:r>
    </w:p>
    <w:bookmarkEnd w:id="9"/>
    <w:bookmarkStart w:id="10" w:name="deal-timeline-recap"/>
    <w:p>
      <w:pPr>
        <w:pStyle w:val="Heading2"/>
      </w:pPr>
      <w:r>
        <w:t xml:space="preserve">Deal Timeline Recap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Feb 27, 2026:</w:t>
      </w:r>
      <w:r>
        <w:t xml:space="preserve"> </w:t>
      </w:r>
      <w:r>
        <w:t xml:space="preserve">Paramount Skydance agreed to acquire WBD for $31/share cash, superseding an earlier Netflix agreement (which itself had just been amended to all-cash terms on Jan 20).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Apr 23, 2026:</w:t>
      </w:r>
      <w:r>
        <w:t xml:space="preserve"> </w:t>
      </w:r>
      <w:r>
        <w:t xml:space="preserve">WBD shareholders overwhelmingly approved the sale to Paramount Skydance (and separately rejected the say-on-pay proposal).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Jul 22-23, 2026:</w:t>
      </w:r>
      <w:r>
        <w:t xml:space="preserve"> </w:t>
      </w:r>
      <w:r>
        <w:t xml:space="preserve">The deal received</w:t>
      </w:r>
      <w:r>
        <w:t xml:space="preserve"> </w:t>
      </w:r>
      <w:r>
        <w:rPr>
          <w:b/>
          <w:bCs/>
        </w:rPr>
        <w:t xml:space="preserve">conditional EU approval</w:t>
      </w:r>
      <w:r>
        <w:t xml:space="preserve">, with Paramount committing to divest its UIP stake and other distribution concessions.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Jul 2026:</w:t>
      </w:r>
      <w:r>
        <w:t xml:space="preserve"> </w:t>
      </w:r>
      <w:r>
        <w:t xml:space="preserve">A coalition of 12 state attorneys general (led by California's Rob Bonta) and the WGA sued to block the merger; a federal judge paused the deal, citing likely antitrust concerns.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Jul 24-27, 2026:</w:t>
      </w:r>
      <w:r>
        <w:t xml:space="preserve"> </w:t>
      </w:r>
      <w:r>
        <w:t xml:space="preserve">The parties agreed to</w:t>
      </w:r>
      <w:r>
        <w:t xml:space="preserve"> </w:t>
      </w:r>
      <w:r>
        <w:rPr>
          <w:b/>
          <w:bCs/>
        </w:rPr>
        <w:t xml:space="preserve">pause the merger until June 1, 2027, or a court ruling, whichever comes first</w:t>
      </w:r>
      <w:r>
        <w:t xml:space="preserve"> </w:t>
      </w:r>
      <w:r>
        <w:t xml:space="preserve">— pushing the expected closing out roughly a year from the original Q3 2026 target. WBD shares fell to a post-announcement low of $25.28.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Aug 4-5, 2026:</w:t>
      </w:r>
      <w:r>
        <w:t xml:space="preserve"> </w:t>
      </w:r>
      <w:r>
        <w:t xml:space="preserve">A trial date has now been set for</w:t>
      </w:r>
      <w:r>
        <w:t xml:space="preserve"> </w:t>
      </w:r>
      <w:r>
        <w:rPr>
          <w:b/>
          <w:bCs/>
        </w:rPr>
        <w:t xml:space="preserve">March 2, 2027</w:t>
      </w:r>
      <w:r>
        <w:t xml:space="preserve">; California's Governor Newsom has reportedly urged AG Bonta toward a settlement, while Paramount's David Ellison has publicly defended the deal.</w:t>
      </w:r>
    </w:p>
    <w:p>
      <w:pPr>
        <w:pStyle w:val="FirstParagraph"/>
      </w:pPr>
      <w:r>
        <w:t xml:space="preserve">Financially, WBD stands to receive a large reverse breakup fee (reported near $7 billion) if the deal collapses on regulatory grounds, while Paramount faces mounting "ticking fee" exposure the longer the closing is delayed — a dynamic that gives WBD some downside protection even in a deal-break scenario, but also means the standalone business (not the deal) is what the Q2 print needs to validate.</w:t>
      </w:r>
    </w:p>
    <w:bookmarkEnd w:id="10"/>
    <w:bookmarkStart w:id="11" w:name="consensus-expectations-for-q2-2026"/>
    <w:p>
      <w:pPr>
        <w:pStyle w:val="Heading2"/>
      </w:pPr>
      <w:r>
        <w:t xml:space="preserve">Consensus Expectations for Q2 2026</w:t>
      </w:r>
    </w:p>
    <w:p>
      <w:pPr>
        <w:pStyle w:val="FirstParagraph"/>
      </w:pPr>
      <w:r>
        <w:t xml:space="preserve">Analyst estimates point to a continued GAAP loss on modestly growing revenue: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EPS:</w:t>
      </w:r>
      <w:r>
        <w:t xml:space="preserve"> </w:t>
      </w:r>
      <w:r>
        <w:t xml:space="preserve">Consensus centers around a loss of</w:t>
      </w:r>
      <w:r>
        <w:t xml:space="preserve"> </w:t>
      </w:r>
      <m:oMath>
        <m:r>
          <m:t>0.12</m:t>
        </m:r>
        <m:r>
          <m:rPr>
            <m:sty m:val="p"/>
          </m:rPr>
          <m:t>–</m:t>
        </m:r>
      </m:oMath>
      <w:r>
        <w:rPr>
          <w:b/>
          <w:bCs/>
        </w:rPr>
        <w:t xml:space="preserve">0.13 per share</w:t>
      </w:r>
      <w:r>
        <w:t xml:space="preserve">, versus a</w:t>
      </w:r>
      <w:r>
        <w:t xml:space="preserve"> </w:t>
      </w:r>
      <w:r>
        <w:rPr>
          <w:b/>
          <w:bCs/>
        </w:rPr>
        <w:t xml:space="preserve">profit of $0.63/share</w:t>
      </w:r>
      <w:r>
        <w:t xml:space="preserve"> </w:t>
      </w:r>
      <w:r>
        <w:t xml:space="preserve">in the year-ago period — a swing analysts flag as roughly a</w:t>
      </w:r>
      <w:r>
        <w:t xml:space="preserve"> </w:t>
      </w:r>
      <w:r>
        <w:rPr>
          <w:b/>
          <w:bCs/>
        </w:rPr>
        <w:t xml:space="preserve">119% year-over-year decline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Consensus is approximately</w:t>
      </w:r>
      <w:r>
        <w:t xml:space="preserve"> </w:t>
      </w:r>
      <w:r>
        <w:rPr>
          <w:b/>
          <w:bCs/>
        </w:rPr>
        <w:t xml:space="preserve">$9.24 billion</w:t>
      </w:r>
      <w:r>
        <w:t xml:space="preserve"> </w:t>
      </w:r>
      <w:r>
        <w:t xml:space="preserve">for the quarter.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Full-year 2026:</w:t>
      </w:r>
      <w:r>
        <w:t xml:space="preserve"> </w:t>
      </w:r>
      <w:r>
        <w:t xml:space="preserve">Analysts model a full-year loss of about</w:t>
      </w:r>
      <w:r>
        <w:t xml:space="preserve"> </w:t>
      </w:r>
      <m:oMath>
        <m:r>
          <m:t>1.07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s</m:t>
        </m:r>
        <m:r>
          <m:t>h</m:t>
        </m:r>
        <m:r>
          <m:t>a</m:t>
        </m:r>
        <m:r>
          <m:t>r</m:t>
        </m:r>
        <m:r>
          <m:t>p</m:t>
        </m:r>
        <m:r>
          <m:t>l</m:t>
        </m:r>
        <m:r>
          <m:t>y</m:t>
        </m:r>
        <m:r>
          <m:t>f</m:t>
        </m:r>
        <m:r>
          <m:t>r</m:t>
        </m:r>
        <m:r>
          <m:t>o</m:t>
        </m:r>
        <m:r>
          <m:t>m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0.29/share profit in FY2025</w:t>
      </w:r>
      <w:r>
        <w:t xml:space="preserve">, driven substantially by one-time, deal-related charges rather than core operating deterioration.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Track record:</w:t>
      </w:r>
      <w:r>
        <w:t xml:space="preserve"> </w:t>
      </w:r>
      <w:r>
        <w:t xml:space="preserve">WBD has</w:t>
      </w:r>
      <w:r>
        <w:t xml:space="preserve"> </w:t>
      </w:r>
      <w:r>
        <w:rPr>
          <w:b/>
          <w:bCs/>
        </w:rPr>
        <w:t xml:space="preserve">missed consensus EPS in three of the last four quarters</w:t>
      </w:r>
      <w:r>
        <w:t xml:space="preserve">, and Q1 2026's miss was dramatic — a reported loss of</w:t>
      </w:r>
      <w:r>
        <w:t xml:space="preserve"> </w:t>
      </w:r>
      <w:r>
        <w:rPr>
          <w:b/>
          <w:bCs/>
        </w:rPr>
        <w:t xml:space="preserve">$1.17/share versus an expected $0.10 loss</w:t>
      </w:r>
      <w:r>
        <w:t xml:space="preserve">, with revenue of</w:t>
      </w:r>
      <w:r>
        <w:t xml:space="preserve"> </w:t>
      </w:r>
      <m:oMath>
        <m:r>
          <m:t>8.89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e</m:t>
        </m:r>
        <m:r>
          <m:t>s</m:t>
        </m:r>
        <m:r>
          <m:t>s</m:t>
        </m:r>
        <m:r>
          <m:t>e</m:t>
        </m:r>
        <m:r>
          <m:t>n</m:t>
        </m:r>
        <m:r>
          <m:t>t</m:t>
        </m:r>
        <m:r>
          <m:t>i</m:t>
        </m:r>
        <m:r>
          <m:t>a</m:t>
        </m:r>
        <m:r>
          <m:t>l</m:t>
        </m:r>
        <m:r>
          <m:t>l</m:t>
        </m:r>
        <m:r>
          <m:t>y</m:t>
        </m:r>
        <m:r>
          <m:t>i</m:t>
        </m:r>
        <m:r>
          <m:t>n</m:t>
        </m:r>
        <m:r>
          <m:t>l</m:t>
        </m:r>
        <m:r>
          <m:t>i</m:t>
        </m:r>
        <m:r>
          <m:t>n</m:t>
        </m:r>
        <m:r>
          <m:t>e</m:t>
        </m:r>
        <m:r>
          <m:t>w</m:t>
        </m:r>
        <m:r>
          <m:t>i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s</m:t>
        </m:r>
        <m:r>
          <m:rPr>
            <m:sty m:val="p"/>
          </m:rPr>
          <m:t>.</m:t>
        </m:r>
        <m:r>
          <m:t>T</m:t>
        </m:r>
        <m:r>
          <m:t>h</m:t>
        </m:r>
        <m:r>
          <m:t>e</m:t>
        </m:r>
        <m:r>
          <m:t>Q</m:t>
        </m:r>
        <m:r>
          <m:t>1</m:t>
        </m:r>
        <m:r>
          <m:t>s</m:t>
        </m:r>
        <m:r>
          <m:t>h</m:t>
        </m:r>
        <m:r>
          <m:t>o</m:t>
        </m:r>
        <m:r>
          <m:t>r</m:t>
        </m:r>
        <m:r>
          <m:t>t</m:t>
        </m:r>
        <m:r>
          <m:t>f</m:t>
        </m:r>
        <m:r>
          <m:t>a</m:t>
        </m:r>
        <m:r>
          <m:t>l</m:t>
        </m:r>
        <m:r>
          <m:t>l</m:t>
        </m:r>
        <m:r>
          <m:t>w</m:t>
        </m:r>
        <m:r>
          <m:t>a</m:t>
        </m:r>
        <m:r>
          <m:t>s</m:t>
        </m:r>
        <m:r>
          <m:t>d</m:t>
        </m:r>
        <m:r>
          <m:t>r</m:t>
        </m:r>
        <m:r>
          <m:t>i</m:t>
        </m:r>
        <m:r>
          <m:t>v</m:t>
        </m:r>
        <m:r>
          <m:t>e</m:t>
        </m:r>
        <m:r>
          <m:t>n</m:t>
        </m:r>
        <m:r>
          <m:t>p</m:t>
        </m:r>
        <m:r>
          <m:t>r</m:t>
        </m:r>
        <m:r>
          <m:t>i</m:t>
        </m:r>
        <m:r>
          <m:t>m</m:t>
        </m:r>
        <m:r>
          <m:t>a</m:t>
        </m:r>
        <m:r>
          <m:t>r</m:t>
        </m:r>
        <m:r>
          <m:t>i</m:t>
        </m:r>
        <m:r>
          <m:t>l</m:t>
        </m:r>
        <m:r>
          <m:t>y</m:t>
        </m:r>
        <m:r>
          <m:t>b</m:t>
        </m:r>
        <m:r>
          <m:t>y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2.8 billion Netflix merger-termination fee** and roughly</w:t>
      </w:r>
      <w:r>
        <w:t xml:space="preserve"> </w:t>
      </w:r>
      <w:r>
        <w:rPr>
          <w:b/>
          <w:bCs/>
        </w:rPr>
        <w:t xml:space="preserve">$1.3 billion of acquisition-related amortization and restructuring charges</w:t>
      </w:r>
      <w:r>
        <w:t xml:space="preserve">, not a deterioration in underlying trends — a distinction investors will want re-confirmed in Q2's results.</w:t>
      </w:r>
    </w:p>
    <w:p>
      <w:pPr>
        <w:pStyle w:val="FirstParagraph"/>
      </w:pPr>
      <w:r>
        <w:t xml:space="preserve">Sell-side sentiment is mixed heading in: Seaport downgraded the stock to Neutral, Huber Research upgraded it to Overweight, and Zacks currently carries a bearish "Strong Sell"-equivalent rank on the name given negative estimate revisions.</w:t>
      </w:r>
    </w:p>
    <w:bookmarkEnd w:id="11"/>
    <w:bookmarkStart w:id="15" w:name="what-to-watch-by-segment"/>
    <w:p>
      <w:pPr>
        <w:pStyle w:val="Heading2"/>
      </w:pPr>
      <w:r>
        <w:t xml:space="preserve">What to Watch by Segment</w:t>
      </w:r>
    </w:p>
    <w:bookmarkStart w:id="12" w:name="Xc88bfc8bba33b85f6ae111dae6b925ff4bf5c1b"/>
    <w:p>
      <w:pPr>
        <w:pStyle w:val="Heading3"/>
      </w:pPr>
      <w:r>
        <w:t xml:space="preserve">Streaming (HBO Max) — the bright spot, but tougher comps</w:t>
      </w:r>
    </w:p>
    <w:p>
      <w:pPr>
        <w:pStyle w:val="FirstParagraph"/>
      </w:pPr>
      <w:r>
        <w:t xml:space="preserve">Q1 was a standout quarter: WBD said it had</w:t>
      </w:r>
      <w:r>
        <w:t xml:space="preserve"> </w:t>
      </w:r>
      <w:r>
        <w:rPr>
          <w:b/>
          <w:bCs/>
        </w:rPr>
        <w:t xml:space="preserve">meaningfully exceeded its guidance of over 140 million global streaming subscribers</w:t>
      </w:r>
      <w:r>
        <w:t xml:space="preserve">, with management reiterating a target to</w:t>
      </w:r>
      <w:r>
        <w:t xml:space="preserve"> </w:t>
      </w:r>
      <w:r>
        <w:rPr>
          <w:b/>
          <w:bCs/>
        </w:rPr>
        <w:t xml:space="preserve">surpass 150 million subscribers by the end of 2026</w:t>
      </w:r>
      <w:r>
        <w:t xml:space="preserve">, fueled by international launches (UK, Ireland, Germany, Italy) and a strong content slate (</w:t>
      </w:r>
      <w:r>
        <w:rPr>
          <w:i/>
          <w:iCs/>
        </w:rPr>
        <w:t xml:space="preserve">The Pitt</w:t>
      </w:r>
      <w:r>
        <w:t xml:space="preserve">,</w:t>
      </w:r>
      <w:r>
        <w:t xml:space="preserve"> </w:t>
      </w:r>
      <w:r>
        <w:rPr>
          <w:i/>
          <w:iCs/>
        </w:rPr>
        <w:t xml:space="preserve">A Knight of the Seven Kingdoms</w:t>
      </w:r>
      <w:r>
        <w:t xml:space="preserve">). Subscriber-related revenue growth</w:t>
      </w:r>
      <w:r>
        <w:t xml:space="preserve"> </w:t>
      </w:r>
      <w:r>
        <w:rPr>
          <w:b/>
          <w:bCs/>
        </w:rPr>
        <w:t xml:space="preserve">accelerated 400 basis points sequentially to 8% ex-FX</w:t>
      </w:r>
      <w:r>
        <w:t xml:space="preserve">, and Streaming Adjusted EBITDA rose</w:t>
      </w:r>
      <w:r>
        <w:t xml:space="preserve"> </w:t>
      </w:r>
      <w:r>
        <w:rPr>
          <w:b/>
          <w:bCs/>
        </w:rPr>
        <w:t xml:space="preserve">17% ex-FX to nearly $440 million</w:t>
      </w:r>
      <w:r>
        <w:t xml:space="preserve">.</w:t>
      </w:r>
    </w:p>
    <w:p>
      <w:pPr>
        <w:pStyle w:val="BodyText"/>
      </w:pPr>
      <w:r>
        <w:t xml:space="preserve">However, management explicitly flagged two Q2 headwinds to watch: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Absence of the NBA</w:t>
      </w:r>
      <w:r>
        <w:t xml:space="preserve">, representing a</w:t>
      </w:r>
      <w:r>
        <w:t xml:space="preserve"> </w:t>
      </w:r>
      <w:r>
        <w:rPr>
          <w:b/>
          <w:bCs/>
        </w:rPr>
        <w:t xml:space="preserve">16% ex-FX headwind to Streaming advertising revenue</w:t>
      </w:r>
      <w:r>
        <w:t xml:space="preserve"> </w:t>
      </w:r>
      <w:r>
        <w:t xml:space="preserve">(this actually helps EBITDA since cost savings outweigh the ad revenue hit).</w:t>
      </w:r>
    </w:p>
    <w:p>
      <w:pPr>
        <w:pStyle w:val="Compact"/>
        <w:numPr>
          <w:ilvl w:val="0"/>
          <w:numId w:val="1003"/>
        </w:numPr>
      </w:pPr>
      <w:r>
        <w:t xml:space="preserve">Lapping of a</w:t>
      </w:r>
      <w:r>
        <w:t xml:space="preserve"> </w:t>
      </w:r>
      <w:r>
        <w:rPr>
          <w:b/>
          <w:bCs/>
        </w:rPr>
        <w:t xml:space="preserve">prior domestic distribution renewal with a former related party</w:t>
      </w:r>
      <w:r>
        <w:t xml:space="preserve">, which weighed on distribution revenue growth, expected to be fully lapped by end of May.</w:t>
      </w:r>
    </w:p>
    <w:p>
      <w:pPr>
        <w:pStyle w:val="FirstParagraph"/>
      </w:pPr>
      <w:r>
        <w:t xml:space="preserve">Content in the quarter (</w:t>
      </w:r>
      <w:r>
        <w:rPr>
          <w:i/>
          <w:iCs/>
        </w:rPr>
        <w:t xml:space="preserve">Euphoria</w:t>
      </w:r>
      <w:r>
        <w:t xml:space="preserve"> </w:t>
      </w:r>
      <w:r>
        <w:t xml:space="preserve">Season 3,</w:t>
      </w:r>
      <w:r>
        <w:t xml:space="preserve"> </w:t>
      </w:r>
      <w:r>
        <w:rPr>
          <w:i/>
          <w:iCs/>
        </w:rPr>
        <w:t xml:space="preserve">House of the Dragon</w:t>
      </w:r>
      <w:r>
        <w:t xml:space="preserve"> </w:t>
      </w:r>
      <w:r>
        <w:t xml:space="preserve">Season 3 in June) should support continued engagement — investors will want an update on subscriber trajectory toward the 150 million target and whether subscriber-related revenue growth kept accelerating.</w:t>
      </w:r>
    </w:p>
    <w:bookmarkEnd w:id="12"/>
    <w:bookmarkStart w:id="13" w:name="studios--tough-year-over-year-comparison"/>
    <w:p>
      <w:pPr>
        <w:pStyle w:val="Heading3"/>
      </w:pPr>
      <w:r>
        <w:t xml:space="preserve">Studios — tough year-over-year comparison</w:t>
      </w:r>
    </w:p>
    <w:p>
      <w:pPr>
        <w:pStyle w:val="FirstParagraph"/>
      </w:pPr>
      <w:r>
        <w:t xml:space="preserve">Studios delivered blockbuster growth in Q1 (revenue +31% ex-FX, Adjusted EBITDA +156% ex-FX) aided by intercompany content licensing tied to HBO Max's international launches. For Q2, management explicitly warned of a</w:t>
      </w:r>
      <w:r>
        <w:t xml:space="preserve"> </w:t>
      </w:r>
      <w:r>
        <w:rPr>
          <w:b/>
          <w:bCs/>
        </w:rPr>
        <w:t xml:space="preserve">difficult comparison against 2025's Q2 slate</w:t>
      </w:r>
      <w:r>
        <w:t xml:space="preserve"> </w:t>
      </w:r>
      <w:r>
        <w:t xml:space="preserve">(</w:t>
      </w:r>
      <w:r>
        <w:rPr>
          <w:i/>
          <w:iCs/>
        </w:rPr>
        <w:t xml:space="preserve">A Minecraft Movie</w:t>
      </w:r>
      <w:r>
        <w:t xml:space="preserve">,</w:t>
      </w:r>
      <w:r>
        <w:t xml:space="preserve"> </w:t>
      </w:r>
      <w:r>
        <w:rPr>
          <w:i/>
          <w:iCs/>
        </w:rPr>
        <w:t xml:space="preserve">Sinners</w:t>
      </w:r>
      <w:r>
        <w:t xml:space="preserve">,</w:t>
      </w:r>
      <w:r>
        <w:t xml:space="preserve"> </w:t>
      </w:r>
      <w:r>
        <w:rPr>
          <w:i/>
          <w:iCs/>
        </w:rPr>
        <w:t xml:space="preserve">Final Destination: Bloodlines</w:t>
      </w:r>
      <w:r>
        <w:t xml:space="preserve">) plus the lapping of an internal WBTVG library licensing renewal. The full-year target remains</w:t>
      </w:r>
      <w:r>
        <w:t xml:space="preserve"> </w:t>
      </w:r>
      <w:r>
        <w:rPr>
          <w:b/>
          <w:bCs/>
        </w:rPr>
        <w:t xml:space="preserve">Adjusted EBITDA roughly in line with 2025</w:t>
      </w:r>
      <w:r>
        <w:t xml:space="preserve">, en route to the long-stated</w:t>
      </w:r>
      <w:r>
        <w:t xml:space="preserve"> </w:t>
      </w:r>
      <w:r>
        <w:rPr>
          <w:b/>
          <w:bCs/>
        </w:rPr>
        <w:t xml:space="preserve">$3 billion+ Adjusted EBITDA goal</w:t>
      </w:r>
      <w:r>
        <w:t xml:space="preserve">. Investors should watch theatrical performance pacing toward the planned ramp to 14 releases in 2026 (from 11 in 2025).</w:t>
      </w:r>
    </w:p>
    <w:bookmarkEnd w:id="13"/>
    <w:bookmarkStart w:id="14" w:name="Xb73c32f6475c6b37ab6a3db74c37b5afe09637b"/>
    <w:p>
      <w:pPr>
        <w:pStyle w:val="Heading3"/>
      </w:pPr>
      <w:r>
        <w:t xml:space="preserve">Global Linear Networks — managed decline continues</w:t>
      </w:r>
    </w:p>
    <w:p>
      <w:pPr>
        <w:pStyle w:val="FirstParagraph"/>
      </w:pPr>
      <w:r>
        <w:t xml:space="preserve">Q1 showed</w:t>
      </w:r>
      <w:r>
        <w:t xml:space="preserve"> </w:t>
      </w:r>
      <w:r>
        <w:rPr>
          <w:b/>
          <w:bCs/>
        </w:rPr>
        <w:t xml:space="preserve">sequential improvement in delivery trends</w:t>
      </w:r>
      <w:r>
        <w:t xml:space="preserve"> </w:t>
      </w:r>
      <w:r>
        <w:t xml:space="preserve">despite revenue and Adjusted EBITDA declining 9% and 10% ex-FX, respectively, aided by strong sports draws (March Madness, Olympics). For Q2, guidance calls for domestic delivery trends</w:t>
      </w:r>
      <w:r>
        <w:t xml:space="preserve"> </w:t>
      </w:r>
      <w:r>
        <w:rPr>
          <w:b/>
          <w:bCs/>
        </w:rPr>
        <w:t xml:space="preserve">roughly similar to Q1</w:t>
      </w:r>
      <w:r>
        <w:t xml:space="preserve">, a</w:t>
      </w:r>
      <w:r>
        <w:t xml:space="preserve"> </w:t>
      </w:r>
      <w:r>
        <w:rPr>
          <w:b/>
          <w:bCs/>
        </w:rPr>
        <w:t xml:space="preserve">20% ex-FX hit to advertising revenue from the absent NBA</w:t>
      </w:r>
      <w:r>
        <w:t xml:space="preserve">, partially offset by a</w:t>
      </w:r>
      <w:r>
        <w:t xml:space="preserve"> </w:t>
      </w:r>
      <w:r>
        <w:rPr>
          <w:b/>
          <w:bCs/>
        </w:rPr>
        <w:t xml:space="preserve">400 bps ex-FX benefit</w:t>
      </w:r>
      <w:r>
        <w:t xml:space="preserve"> </w:t>
      </w:r>
      <w:r>
        <w:t xml:space="preserve">from NCAA Final Four/Championship broadcasts and the absence of last year's NHL Stanley Cup Final. Notably, management said the NBA's absence should be a</w:t>
      </w:r>
      <w:r>
        <w:t xml:space="preserve"> </w:t>
      </w:r>
      <w:r>
        <w:rPr>
          <w:b/>
          <w:bCs/>
        </w:rPr>
        <w:t xml:space="preserve">net benefit to Adjusted EBITDA in H1 2026</w:t>
      </w:r>
      <w:r>
        <w:t xml:space="preserve">, since avoided sports-rights costs exceed the lost ad revenue — a nuance worth confirming actually played out. Full-year opex is still expected to improve</w:t>
      </w:r>
      <w:r>
        <w:t xml:space="preserve"> </w:t>
      </w:r>
      <w:r>
        <w:rPr>
          <w:b/>
          <w:bCs/>
        </w:rPr>
        <w:t xml:space="preserve">high single digits year-over-year</w:t>
      </w:r>
      <w:r>
        <w:t xml:space="preserve">.</w:t>
      </w:r>
    </w:p>
    <w:bookmarkEnd w:id="14"/>
    <w:bookmarkEnd w:id="15"/>
    <w:bookmarkStart w:id="16" w:name="balance-sheet--free-cash-flow"/>
    <w:p>
      <w:pPr>
        <w:pStyle w:val="Heading2"/>
      </w:pPr>
      <w:r>
        <w:t xml:space="preserve">Balance Sheet &amp; Free Cash Flow</w:t>
      </w:r>
    </w:p>
    <w:p>
      <w:pPr>
        <w:pStyle w:val="FirstParagraph"/>
      </w:pPr>
      <w:r>
        <w:t xml:space="preserve">Q1 free cash flow was **negative</w:t>
      </w:r>
      <w:r>
        <w:t xml:space="preserve"> </w:t>
      </w:r>
      <m:oMath>
        <m:r>
          <m:t>476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i</m:t>
        </m:r>
        <m:r>
          <m:t>n</m:t>
        </m:r>
        <m:r>
          <m:t>c</m:t>
        </m:r>
        <m:r>
          <m:t>l</m:t>
        </m:r>
        <m:r>
          <m:t>u</m:t>
        </m:r>
        <m:r>
          <m:t>d</m:t>
        </m:r>
        <m:r>
          <m:t>i</m:t>
        </m:r>
        <m:r>
          <m:t>n</m:t>
        </m:r>
        <m:r>
          <m:t>g</m:t>
        </m:r>
        <m:r>
          <m:t> </m:t>
        </m:r>
      </m:oMath>
      <w:r>
        <w:t xml:space="preserve">100 million of separation/transaction costs, reflecting the segment's seasonally weakest quarter plus higher content investment and cash taxes. Management guided that free cash flow should remain within its historical</w:t>
      </w:r>
      <w:r>
        <w:t xml:space="preserve"> </w:t>
      </w:r>
      <w:r>
        <w:rPr>
          <w:b/>
          <w:bCs/>
        </w:rPr>
        <w:t xml:space="preserve">33%–50% conversion range</w:t>
      </w:r>
      <w:r>
        <w:t xml:space="preserve"> </w:t>
      </w:r>
      <w:r>
        <w:t xml:space="preserve">on an underlying basis, but cautioned that</w:t>
      </w:r>
      <w:r>
        <w:t xml:space="preserve"> </w:t>
      </w:r>
      <w:r>
        <w:rPr>
          <w:b/>
          <w:bCs/>
        </w:rPr>
        <w:t xml:space="preserve">additional transaction-related cash costs</w:t>
      </w:r>
      <w:r>
        <w:t xml:space="preserve"> </w:t>
      </w:r>
      <w:r>
        <w:t xml:space="preserve">(advisory fees, bridge-loan interest, tax leakage) will continue flowing through leading up to any closing. Net leverage stood at</w:t>
      </w:r>
      <w:r>
        <w:t xml:space="preserve"> </w:t>
      </w:r>
      <w:r>
        <w:rPr>
          <w:b/>
          <w:bCs/>
        </w:rPr>
        <w:t xml:space="preserve">3.4x</w:t>
      </w:r>
      <w:r>
        <w:t xml:space="preserve"> </w:t>
      </w:r>
      <w:r>
        <w:t xml:space="preserve">at quarter-end (gross debt of $33.4 billion against $3.3 billion of cash). Watch for leverage trajectory and any further debt paydown, along with an updated read on cumulative deal-related cash drag given the now much-longer timeline to close.</w:t>
      </w:r>
    </w:p>
    <w:bookmarkEnd w:id="16"/>
    <w:bookmarkStart w:id="17" w:name="other-threads-likely-to-surface"/>
    <w:p>
      <w:pPr>
        <w:pStyle w:val="Heading2"/>
      </w:pPr>
      <w:r>
        <w:t xml:space="preserve">Other Threads Likely to Surface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CFO retention:</w:t>
      </w:r>
      <w:r>
        <w:t xml:space="preserve"> </w:t>
      </w:r>
      <w:r>
        <w:t xml:space="preserve">Gunnar Wiedenfels was locked in through 2028 with a new pay package in April, suggesting management continuity regardless of deal outcome.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Governance friction:</w:t>
      </w:r>
      <w:r>
        <w:t xml:space="preserve"> </w:t>
      </w:r>
      <w:r>
        <w:t xml:space="preserve">Shareholders rejected the executive compensation package (say-on-pay) at both the April merger vote and again in June, alongside a separate tax-reimbursement ("golden parachute") arrangement secured for CEO David Zaslav tied to the merger.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Litigation exposure:</w:t>
      </w:r>
      <w:r>
        <w:t xml:space="preserve"> </w:t>
      </w:r>
      <w:r>
        <w:t xml:space="preserve">WBD sued Amazon in July over alleged poaching of contracted HBO Max executives — a minor but notable data point on competitive intensity in streaming talent.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Content pipeline:</w:t>
      </w:r>
      <w:r>
        <w:t xml:space="preserve"> </w:t>
      </w:r>
      <w:r>
        <w:t xml:space="preserve">Barbie sequel talks, the Christmas Day launch of</w:t>
      </w:r>
      <w:r>
        <w:t xml:space="preserve"> </w:t>
      </w:r>
      <w:r>
        <w:rPr>
          <w:i/>
          <w:iCs/>
        </w:rPr>
        <w:t xml:space="preserve">Harry Potter and the Philosopher's Stone</w:t>
      </w:r>
      <w:r>
        <w:t xml:space="preserve"> </w:t>
      </w:r>
      <w:r>
        <w:t xml:space="preserve">on HBO Max, and the ramp toward 18 theatrical releases in 2027 remain long-term growth levers independent of the merger outcome.</w:t>
      </w:r>
    </w:p>
    <w:bookmarkEnd w:id="17"/>
    <w:bookmarkStart w:id="18" w:name="bottom-line-for-investors"/>
    <w:p>
      <w:pPr>
        <w:pStyle w:val="Heading2"/>
      </w:pPr>
      <w:r>
        <w:t xml:space="preserve">Bottom Line for Investors</w:t>
      </w:r>
    </w:p>
    <w:p>
      <w:pPr>
        <w:pStyle w:val="FirstParagraph"/>
      </w:pPr>
      <w:r>
        <w:t xml:space="preserve">The operating business narrative WBD has been telling — HBO Max scaling profitably past 150 million subscribers, Studios stabilizing near $3 billion in EBITDA, and linear networks managing decline via cost discipline — was largely intact as of Q1. Q2's job is to show that narrative held up through known headwinds (NBA absence, tough Studios comps, distribution-renewal lapping) that management pre-announced three months ago. But the dominant swing factor for the stock remains the Paramount Skydance deal: a trial isn't scheduled until</w:t>
      </w:r>
      <w:r>
        <w:t xml:space="preserve"> </w:t>
      </w:r>
      <w:r>
        <w:rPr>
          <w:b/>
          <w:bCs/>
        </w:rPr>
        <w:t xml:space="preserve">March 2027</w:t>
      </w:r>
      <w:r>
        <w:t xml:space="preserve">, the merger itself is paused until</w:t>
      </w:r>
      <w:r>
        <w:t xml:space="preserve"> </w:t>
      </w:r>
      <w:r>
        <w:rPr>
          <w:b/>
          <w:bCs/>
        </w:rPr>
        <w:t xml:space="preserve">June 2027</w:t>
      </w:r>
      <w:r>
        <w:t xml:space="preserve"> </w:t>
      </w:r>
      <w:r>
        <w:t xml:space="preserve">or a ruling, and the market is pricing meaningful deal-break risk. Investors should treat Q2 results as a fundamental checkpoint on the standalone business, while recognizing that near-term share-price action will likely continue to be driven more by antitrust-litigation headlines than by the numbers reported on August 6.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2026-08-06T00:04:53Z</dcterms:created>
  <dcterms:modified xsi:type="dcterms:W3CDTF">2026-08-06T00:04:53Z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