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bd-earnings-predictions--2026-08-06"/>
    <w:p>
      <w:pPr>
        <w:pStyle w:val="Heading1"/>
      </w:pPr>
      <w:r>
        <w:t xml:space="preserve">WBD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~$1.93B vs. cons $1.867B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Streaming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~$470M vs. cons $455M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~$9.20B vs. cons $9.236B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Studios 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~$2.55B vs. cons $2.60B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Streaming Subscribers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&gt;150M vs. cons 151M (FY2026 year-end)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Linear Networks Operating Expense Improvement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~8% vs. cons 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Paramount Transaction Base Cash Consideration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~$31.00/share vs. cons $31.00/share (through transaction closing/FY2027)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+0.2% (FADE)</w:t>
            </w:r>
          </w:p>
        </w:tc>
        <w:tc>
          <w:tcPr/>
          <w:p>
            <w:pPr>
              <w:pStyle w:val="Compact"/>
            </w:pPr>
            <w:r>
              <w:t xml:space="preserve">A modest Q2 EBITDA beat should initially help standalone downside protection, but the ~</w:t>
            </w:r>
            <m:oMath>
              <m:r>
                <m:t>2.55</m:t>
              </m:r>
              <m:r>
                <m:t>B</m:t>
              </m:r>
              <m:r>
                <m:t>S</m:t>
              </m:r>
              <m:r>
                <m:t>t</m:t>
              </m:r>
              <m:r>
                <m:t>u</m:t>
              </m:r>
              <m:r>
                <m:t>d</m:t>
              </m:r>
              <m:r>
                <m:t>i</m:t>
              </m:r>
              <m:r>
                <m:t>o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t>l</m:t>
              </m:r>
              <m:r>
                <m:t>o</m:t>
              </m:r>
              <m:r>
                <m:t>o</m:t>
              </m:r>
              <m:r>
                <m:t>k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2.60B consensus limits out-period estimate revisions; merger-arbitrage pricing and the unchanged $31.00 offer cap should fade most of the earnings-driven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2026-08-06T00:08:34Z</dcterms:created>
  <dcterms:modified xsi:type="dcterms:W3CDTF">2026-08-06T00:08:34Z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