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wbd-q2-2026-earnings-preview"/>
    <w:p>
      <w:pPr>
        <w:pStyle w:val="Heading1"/>
      </w:pPr>
      <w:r>
        <w:t xml:space="preserve">WBD Q2 2026 Earnings Preview</w:t>
      </w:r>
    </w:p>
    <w:p>
      <w:pPr>
        <w:pStyle w:val="FirstParagraph"/>
      </w:pPr>
      <w:r>
        <w:rPr>
          <w:b/>
          <w:bCs/>
        </w:rPr>
        <w:t xml:space="preserve">Warner Bros. Discovery reports before the market opens on Thursday, August 6, 2026. Earnings materials are expected around 7:00 a.m. ET, followed by the conference call at 8:00 a.m. ET.</w:t>
      </w:r>
    </w:p>
    <w:bookmarkStart w:id="9" w:name="investment-view-going-into-the-print"/>
    <w:p>
      <w:pPr>
        <w:pStyle w:val="Heading2"/>
      </w:pPr>
      <w:r>
        <w:t xml:space="preserve">Investment view going into the print</w:t>
      </w:r>
    </w:p>
    <w:p>
      <w:pPr>
        <w:pStyle w:val="FirstParagraph"/>
      </w:pPr>
      <w:r>
        <w:t xml:space="preserve">This is no longer a conventional earnings event. WBD is trading primarily as a</w:t>
      </w:r>
      <w:r>
        <w:t xml:space="preserve"> </w:t>
      </w:r>
      <w:r>
        <w:rPr>
          <w:b/>
          <w:bCs/>
        </w:rPr>
        <w:t xml:space="preserve">merger-arbitrage security</w:t>
      </w:r>
      <w:r>
        <w:t xml:space="preserve">, with operating results important mainly because they affect:</w:t>
      </w:r>
    </w:p>
    <w:p>
      <w:pPr>
        <w:pStyle w:val="Compact"/>
        <w:numPr>
          <w:ilvl w:val="0"/>
          <w:numId w:val="1001"/>
        </w:numPr>
      </w:pPr>
      <w:r>
        <w:t xml:space="preserve">The value of WBD if the Paramount Skydance transaction fails.</w:t>
      </w:r>
    </w:p>
    <w:p>
      <w:pPr>
        <w:pStyle w:val="Compact"/>
        <w:numPr>
          <w:ilvl w:val="0"/>
          <w:numId w:val="1001"/>
        </w:numPr>
      </w:pPr>
      <w:r>
        <w:t xml:space="preserve">WBD’s ability to preserve its business and balance sheet during a potentially lengthy regulatory process.</w:t>
      </w:r>
    </w:p>
    <w:p>
      <w:pPr>
        <w:pStyle w:val="Compact"/>
        <w:numPr>
          <w:ilvl w:val="0"/>
          <w:numId w:val="1001"/>
        </w:numPr>
      </w:pPr>
      <w:r>
        <w:t xml:space="preserve">Confidence that WBD is complying with the merger agreement’s operating covenants.</w:t>
      </w:r>
    </w:p>
    <w:p>
      <w:pPr>
        <w:pStyle w:val="FirstParagraph"/>
      </w:pPr>
      <w:r>
        <w:t xml:space="preserve">WBD closed August 5 at</w:t>
      </w:r>
      <w:r>
        <w:t xml:space="preserve"> </w:t>
      </w:r>
      <m:oMath>
        <m:r>
          <m:t>25.99</m:t>
        </m:r>
        <m:r>
          <m:rPr>
            <m:sty m:val="p"/>
          </m:rPr>
          <m:t>*</m:t>
        </m:r>
        <m:r>
          <m:rPr>
            <m:sty m:val="p"/>
          </m:rPr>
          <m:t>*</m:t>
        </m:r>
        <m:r>
          <m:rPr>
            <m:sty m:val="p"/>
          </m:rPr>
          <m:t>,</m:t>
        </m:r>
        <m:r>
          <m:t>v</m:t>
        </m:r>
        <m:r>
          <m:t>e</m:t>
        </m:r>
        <m:r>
          <m:t>r</m:t>
        </m:r>
        <m:r>
          <m:t>s</m:t>
        </m:r>
        <m:r>
          <m:t>u</m:t>
        </m:r>
        <m:r>
          <m:t>s</m:t>
        </m:r>
        <m:r>
          <m:t>P</m:t>
        </m:r>
        <m:r>
          <m:t>a</m:t>
        </m:r>
        <m:r>
          <m:t>r</m:t>
        </m:r>
        <m:r>
          <m:t>a</m:t>
        </m:r>
        <m:r>
          <m:t>m</m:t>
        </m:r>
        <m:r>
          <m:t>o</m:t>
        </m:r>
        <m:r>
          <m:t>u</m:t>
        </m:r>
        <m:r>
          <m:t>n</m:t>
        </m:r>
        <m:r>
          <m:t>t</m:t>
        </m:r>
        <m:r>
          <m:rPr>
            <m:sty m:val="p"/>
          </m:rPr>
          <m:t>’</m:t>
        </m:r>
        <m:r>
          <m:t>s</m:t>
        </m:r>
        <m:r>
          <m:rPr>
            <m:sty m:val="p"/>
          </m:rPr>
          <m:t>*</m:t>
        </m:r>
        <m:r>
          <m:rPr>
            <m:sty m:val="p"/>
          </m:rPr>
          <m:t>*</m:t>
        </m:r>
      </m:oMath>
      <w:r>
        <w:rPr>
          <w:b/>
          <w:bCs/>
        </w:rPr>
        <w:t xml:space="preserve">31-per-share cash offer</w:t>
      </w:r>
      <w:r>
        <w:t xml:space="preserve">—approximately</w:t>
      </w:r>
      <w:r>
        <w:t xml:space="preserve"> </w:t>
      </w:r>
      <w:r>
        <w:rPr>
          <w:b/>
          <w:bCs/>
        </w:rPr>
        <w:t xml:space="preserve">19% gross upside</w:t>
      </w:r>
      <w:r>
        <w:t xml:space="preserve">, before the transaction’s ticking consideration. The large spread reflects the state antitrust lawsuit, the pause in closing until a court ruling or June 1, 2027, and a trial now scheduled to begin March 2, 2027.</w:t>
      </w:r>
    </w:p>
    <w:p>
      <w:pPr>
        <w:pStyle w:val="BodyText"/>
      </w:pPr>
      <w:r>
        <w:t xml:space="preserve">Consequently, a modest earnings beat or miss may have less impact than any new information about the merger timetable. Still, the report will provide the first major test of WBD’s operating trajectory since the deal became materially delayed.</w:t>
      </w:r>
    </w:p>
    <w:p>
      <w:r>
        <w:pict>
          <v:rect style="width:0;height:1.5pt" o:hralign="center" o:hrstd="t" o:hr="t"/>
        </w:pict>
      </w:r>
    </w:p>
    <w:bookmarkEnd w:id="9"/>
    <w:bookmarkStart w:id="10" w:name="baseline-where-wbd-stood-after-q1"/>
    <w:p>
      <w:pPr>
        <w:pStyle w:val="Heading2"/>
      </w:pPr>
      <w:r>
        <w:t xml:space="preserve">Baseline: where WBD stood after Q1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Q1 2026</w:t>
            </w:r>
          </w:p>
        </w:tc>
      </w:tr>
      <w:tr>
        <w:tc>
          <w:tcPr/>
          <w:p>
            <w:pPr>
              <w:pStyle w:val="Compact"/>
            </w:pPr>
            <w:r>
              <w:t xml:space="preserve">Revenue</w:t>
            </w:r>
          </w:p>
        </w:tc>
        <w:tc>
          <w:tcPr/>
          <w:p>
            <w:pPr>
              <w:pStyle w:val="Compact"/>
              <w:jc w:val="right"/>
            </w:pPr>
            <w:r>
              <w:t xml:space="preserve">$8.89B</w:t>
            </w:r>
          </w:p>
        </w:tc>
      </w:tr>
      <w:tr>
        <w:tc>
          <w:tcPr/>
          <w:p>
            <w:pPr>
              <w:pStyle w:val="Compact"/>
            </w:pPr>
            <w:r>
              <w:t xml:space="preserve">Adjusted EBITDA</w:t>
            </w:r>
          </w:p>
        </w:tc>
        <w:tc>
          <w:tcPr/>
          <w:p>
            <w:pPr>
              <w:pStyle w:val="Compact"/>
              <w:jc w:val="right"/>
            </w:pPr>
            <w:r>
              <w:t xml:space="preserve">$2.20B</w:t>
            </w:r>
          </w:p>
        </w:tc>
      </w:tr>
      <w:tr>
        <w:tc>
          <w:tcPr/>
          <w:p>
            <w:pPr>
              <w:pStyle w:val="Compact"/>
            </w:pPr>
            <w:r>
              <w:t xml:space="preserve">Free cash flow</w:t>
            </w:r>
          </w:p>
        </w:tc>
        <w:tc>
          <w:tcPr/>
          <w:p>
            <w:pPr>
              <w:pStyle w:val="Compact"/>
              <w:jc w:val="right"/>
            </w:pPr>
            <w:r>
              <w:rPr>
                <w:b/>
                <w:bCs/>
              </w:rPr>
              <w:t xml:space="preserve">$(476)M</w:t>
            </w:r>
          </w:p>
        </w:tc>
      </w:tr>
      <w:tr>
        <w:tc>
          <w:tcPr/>
          <w:p>
            <w:pPr>
              <w:pStyle w:val="Compact"/>
            </w:pPr>
            <w:r>
              <w:t xml:space="preserve">Streaming revenue</w:t>
            </w:r>
          </w:p>
        </w:tc>
        <w:tc>
          <w:tcPr/>
          <w:p>
            <w:pPr>
              <w:pStyle w:val="Compact"/>
              <w:jc w:val="right"/>
            </w:pPr>
            <w:r>
              <w:t xml:space="preserve">$2.89B</w:t>
            </w:r>
          </w:p>
        </w:tc>
      </w:tr>
      <w:tr>
        <w:tc>
          <w:tcPr/>
          <w:p>
            <w:pPr>
              <w:pStyle w:val="Compact"/>
            </w:pPr>
            <w:r>
              <w:t xml:space="preserve">Streaming adjusted EBITDA</w:t>
            </w:r>
          </w:p>
        </w:tc>
        <w:tc>
          <w:tcPr/>
          <w:p>
            <w:pPr>
              <w:pStyle w:val="Compact"/>
              <w:jc w:val="right"/>
            </w:pPr>
            <w:r>
              <w:t xml:space="preserve">$438M</w:t>
            </w:r>
          </w:p>
        </w:tc>
      </w:tr>
      <w:tr>
        <w:tc>
          <w:tcPr/>
          <w:p>
            <w:pPr>
              <w:pStyle w:val="Compact"/>
            </w:pPr>
            <w:r>
              <w:t xml:space="preserve">Studios adjusted EBITDA</w:t>
            </w:r>
          </w:p>
        </w:tc>
        <w:tc>
          <w:tcPr/>
          <w:p>
            <w:pPr>
              <w:pStyle w:val="Compact"/>
              <w:jc w:val="right"/>
            </w:pPr>
            <w:r>
              <w:t xml:space="preserve">$775M</w:t>
            </w:r>
          </w:p>
        </w:tc>
      </w:tr>
      <w:tr>
        <w:tc>
          <w:tcPr/>
          <w:p>
            <w:pPr>
              <w:pStyle w:val="Compact"/>
            </w:pPr>
            <w:r>
              <w:t xml:space="preserve">Global Linear Networks adjusted EBITDA</w:t>
            </w:r>
          </w:p>
        </w:tc>
        <w:tc>
          <w:tcPr/>
          <w:p>
            <w:pPr>
              <w:pStyle w:val="Compact"/>
              <w:jc w:val="right"/>
            </w:pPr>
            <w:r>
              <w:t xml:space="preserve">$1.63B</w:t>
            </w:r>
          </w:p>
        </w:tc>
      </w:tr>
      <w:tr>
        <w:tc>
          <w:tcPr/>
          <w:p>
            <w:pPr>
              <w:pStyle w:val="Compact"/>
            </w:pPr>
            <w:r>
              <w:t xml:space="preserve">Net debt</w:t>
            </w:r>
          </w:p>
        </w:tc>
        <w:tc>
          <w:tcPr/>
          <w:p>
            <w:pPr>
              <w:pStyle w:val="Compact"/>
              <w:jc w:val="right"/>
            </w:pPr>
            <w:r>
              <w:t xml:space="preserve">$30.1B</w:t>
            </w:r>
          </w:p>
        </w:tc>
      </w:tr>
      <w:tr>
        <w:tc>
          <w:tcPr/>
          <w:p>
            <w:pPr>
              <w:pStyle w:val="Compact"/>
            </w:pPr>
            <w:r>
              <w:t xml:space="preserve">Net leverage</w:t>
            </w:r>
          </w:p>
        </w:tc>
        <w:tc>
          <w:tcPr/>
          <w:p>
            <w:pPr>
              <w:pStyle w:val="Compact"/>
              <w:jc w:val="right"/>
            </w:pPr>
            <w:r>
              <w:t xml:space="preserve">3.4x</w:t>
            </w:r>
          </w:p>
        </w:tc>
      </w:tr>
    </w:tbl>
    <w:p>
      <w:pPr>
        <w:pStyle w:val="BodyText"/>
      </w:pPr>
      <w:r>
        <w:t xml:space="preserve">Q1’s reported</w:t>
      </w:r>
      <w:r>
        <w:t xml:space="preserve"> </w:t>
      </w:r>
      <w:r>
        <w:rPr>
          <w:b/>
          <w:bCs/>
        </w:rPr>
        <w:t xml:space="preserve">$2.9 billion net loss</w:t>
      </w:r>
      <w:r>
        <w:t xml:space="preserve"> </w:t>
      </w:r>
      <w:r>
        <w:t xml:space="preserve">was distorted by the $2.8 billion Netflix termination fee, which Paramount paid on WBD’s behalf. Investors should again focus on adjusted EBITDA, free cash flow and segment performance rather than headline GAAP earnings.</w:t>
      </w:r>
    </w:p>
    <w:p>
      <w:pPr>
        <w:pStyle w:val="BodyText"/>
      </w:pPr>
      <w:r>
        <w:t xml:space="preserve">For comparison, WBD reported the following in Q2 2025:</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2025</w:t>
            </w:r>
          </w:p>
        </w:tc>
      </w:tr>
      <w:tr>
        <w:tc>
          <w:tcPr/>
          <w:p>
            <w:pPr>
              <w:pStyle w:val="Compact"/>
            </w:pPr>
            <w:r>
              <w:t xml:space="preserve">Revenue</w:t>
            </w:r>
          </w:p>
        </w:tc>
        <w:tc>
          <w:tcPr/>
          <w:p>
            <w:pPr>
              <w:pStyle w:val="Compact"/>
              <w:jc w:val="right"/>
            </w:pPr>
            <w:r>
              <w:t xml:space="preserve">$9.81B</w:t>
            </w:r>
          </w:p>
        </w:tc>
      </w:tr>
      <w:tr>
        <w:tc>
          <w:tcPr/>
          <w:p>
            <w:pPr>
              <w:pStyle w:val="Compact"/>
            </w:pPr>
            <w:r>
              <w:t xml:space="preserve">Adjusted EBITDA</w:t>
            </w:r>
          </w:p>
        </w:tc>
        <w:tc>
          <w:tcPr/>
          <w:p>
            <w:pPr>
              <w:pStyle w:val="Compact"/>
              <w:jc w:val="right"/>
            </w:pPr>
            <w:r>
              <w:t xml:space="preserve">$1.95B</w:t>
            </w:r>
          </w:p>
        </w:tc>
      </w:tr>
      <w:tr>
        <w:tc>
          <w:tcPr/>
          <w:p>
            <w:pPr>
              <w:pStyle w:val="Compact"/>
            </w:pPr>
            <w:r>
              <w:t xml:space="preserve">Free cash flow</w:t>
            </w:r>
          </w:p>
        </w:tc>
        <w:tc>
          <w:tcPr/>
          <w:p>
            <w:pPr>
              <w:pStyle w:val="Compact"/>
              <w:jc w:val="right"/>
            </w:pPr>
            <w:r>
              <w:t xml:space="preserve">$702M</w:t>
            </w:r>
          </w:p>
        </w:tc>
      </w:tr>
      <w:tr>
        <w:tc>
          <w:tcPr/>
          <w:p>
            <w:pPr>
              <w:pStyle w:val="Compact"/>
            </w:pPr>
            <w:r>
              <w:t xml:space="preserve">Streaming subscribers</w:t>
            </w:r>
          </w:p>
        </w:tc>
        <w:tc>
          <w:tcPr/>
          <w:p>
            <w:pPr>
              <w:pStyle w:val="Compact"/>
              <w:jc w:val="right"/>
            </w:pPr>
            <w:r>
              <w:t xml:space="preserve">125.7M</w:t>
            </w:r>
          </w:p>
        </w:tc>
      </w:tr>
      <w:tr>
        <w:tc>
          <w:tcPr/>
          <w:p>
            <w:pPr>
              <w:pStyle w:val="Compact"/>
            </w:pPr>
            <w:r>
              <w:t xml:space="preserve">Streaming adjusted EBITDA</w:t>
            </w:r>
          </w:p>
        </w:tc>
        <w:tc>
          <w:tcPr/>
          <w:p>
            <w:pPr>
              <w:pStyle w:val="Compact"/>
              <w:jc w:val="right"/>
            </w:pPr>
            <w:r>
              <w:t xml:space="preserve">$293M</w:t>
            </w:r>
          </w:p>
        </w:tc>
      </w:tr>
      <w:tr>
        <w:tc>
          <w:tcPr/>
          <w:p>
            <w:pPr>
              <w:pStyle w:val="Compact"/>
            </w:pPr>
            <w:r>
              <w:t xml:space="preserve">Studios adjusted EBITDA</w:t>
            </w:r>
          </w:p>
        </w:tc>
        <w:tc>
          <w:tcPr/>
          <w:p>
            <w:pPr>
              <w:pStyle w:val="Compact"/>
              <w:jc w:val="right"/>
            </w:pPr>
            <w:r>
              <w:t xml:space="preserve">$863M</w:t>
            </w:r>
          </w:p>
        </w:tc>
      </w:tr>
      <w:tr>
        <w:tc>
          <w:tcPr/>
          <w:p>
            <w:pPr>
              <w:pStyle w:val="Compact"/>
            </w:pPr>
            <w:r>
              <w:t xml:space="preserve">Global Linear Networks adjusted EBITDA</w:t>
            </w:r>
          </w:p>
        </w:tc>
        <w:tc>
          <w:tcPr/>
          <w:p>
            <w:pPr>
              <w:pStyle w:val="Compact"/>
              <w:jc w:val="right"/>
            </w:pPr>
            <w:r>
              <w:t xml:space="preserve">$1.51B</w:t>
            </w:r>
          </w:p>
        </w:tc>
      </w:tr>
    </w:tbl>
    <w:p>
      <w:pPr>
        <w:pStyle w:val="BodyText"/>
      </w:pPr>
      <w:r>
        <w:t xml:space="preserve">The comparisons are unusually complicated by sports-rights changes, theatrical timing, internal content licensing, international HBO Max launches and transaction-related expenses.</w:t>
      </w:r>
    </w:p>
    <w:p>
      <w:r>
        <w:pict>
          <v:rect style="width:0;height:1.5pt" o:hralign="center" o:hrstd="t" o:hr="t"/>
        </w:pict>
      </w:r>
    </w:p>
    <w:bookmarkEnd w:id="10"/>
    <w:bookmarkStart w:id="12" w:name="X7ff166edf6c6d1945d721cf44ec44c2fea753af"/>
    <w:p>
      <w:pPr>
        <w:pStyle w:val="Heading2"/>
      </w:pPr>
      <w:r>
        <w:t xml:space="preserve">1. Streaming is the most important operating indicator</w:t>
      </w:r>
    </w:p>
    <w:p>
      <w:pPr>
        <w:pStyle w:val="FirstParagraph"/>
      </w:pPr>
      <w:r>
        <w:t xml:space="preserve">Streaming was WBD’s clearest growth engine in Q1:</w:t>
      </w:r>
    </w:p>
    <w:p>
      <w:pPr>
        <w:pStyle w:val="Compact"/>
        <w:numPr>
          <w:ilvl w:val="0"/>
          <w:numId w:val="1002"/>
        </w:numPr>
      </w:pPr>
      <w:r>
        <w:t xml:space="preserve">Revenue increased</w:t>
      </w:r>
      <w:r>
        <w:t xml:space="preserve"> </w:t>
      </w:r>
      <w:r>
        <w:rPr>
          <w:b/>
          <w:bCs/>
        </w:rPr>
        <w:t xml:space="preserve">7% ex-FX</w:t>
      </w:r>
      <w:r>
        <w:t xml:space="preserve">.</w:t>
      </w:r>
    </w:p>
    <w:p>
      <w:pPr>
        <w:pStyle w:val="Compact"/>
        <w:numPr>
          <w:ilvl w:val="0"/>
          <w:numId w:val="1002"/>
        </w:numPr>
      </w:pPr>
      <w:r>
        <w:t xml:space="preserve">Subscriber-related revenue grew</w:t>
      </w:r>
      <w:r>
        <w:t xml:space="preserve"> </w:t>
      </w:r>
      <w:r>
        <w:rPr>
          <w:b/>
          <w:bCs/>
        </w:rPr>
        <w:t xml:space="preserve">8% ex-FX</w:t>
      </w:r>
      <w:r>
        <w:t xml:space="preserve">.</w:t>
      </w:r>
    </w:p>
    <w:p>
      <w:pPr>
        <w:pStyle w:val="Compact"/>
        <w:numPr>
          <w:ilvl w:val="0"/>
          <w:numId w:val="1002"/>
        </w:numPr>
      </w:pPr>
      <w:r>
        <w:t xml:space="preserve">Advertising revenue grew</w:t>
      </w:r>
      <w:r>
        <w:t xml:space="preserve"> </w:t>
      </w:r>
      <w:r>
        <w:rPr>
          <w:b/>
          <w:bCs/>
        </w:rPr>
        <w:t xml:space="preserve">19% ex-FX</w:t>
      </w:r>
      <w:r>
        <w:t xml:space="preserve">.</w:t>
      </w:r>
    </w:p>
    <w:p>
      <w:pPr>
        <w:pStyle w:val="Compact"/>
        <w:numPr>
          <w:ilvl w:val="0"/>
          <w:numId w:val="1002"/>
        </w:numPr>
      </w:pPr>
      <w:r>
        <w:t xml:space="preserve">Adjusted EBITDA rose</w:t>
      </w:r>
      <w:r>
        <w:t xml:space="preserve"> </w:t>
      </w:r>
      <w:r>
        <w:rPr>
          <w:b/>
          <w:bCs/>
        </w:rPr>
        <w:t xml:space="preserve">17% ex-FX</w:t>
      </w:r>
      <w:r>
        <w:t xml:space="preserve"> </w:t>
      </w:r>
      <w:r>
        <w:t xml:space="preserve">to $438 million.</w:t>
      </w:r>
    </w:p>
    <w:p>
      <w:pPr>
        <w:pStyle w:val="Compact"/>
        <w:numPr>
          <w:ilvl w:val="0"/>
          <w:numId w:val="1002"/>
        </w:numPr>
      </w:pPr>
      <w:r>
        <w:t xml:space="preserve">WBD ended Q1 with meaningfully more than 140 million subscribers and maintained its target to exceed</w:t>
      </w:r>
      <w:r>
        <w:t xml:space="preserve"> </w:t>
      </w:r>
      <w:r>
        <w:rPr>
          <w:b/>
          <w:bCs/>
        </w:rPr>
        <w:t xml:space="preserve">150 million by year-end</w:t>
      </w:r>
      <w:r>
        <w:t xml:space="preserve">.</w:t>
      </w:r>
    </w:p>
    <w:p>
      <w:pPr>
        <w:pStyle w:val="FirstParagraph"/>
      </w:pPr>
      <w:r>
        <w:t xml:space="preserve">The international HBO Max rollout is now largely complete, including launches in Germany, Italy, the U.K. and Ireland. Q2 should therefore begin to show whether the strategy can transition from launch-driven subscriber additions to sustainable monetization and operating leverage.</w:t>
      </w:r>
    </w:p>
    <w:bookmarkStart w:id="11" w:name="what-to-watch"/>
    <w:p>
      <w:pPr>
        <w:pStyle w:val="Heading3"/>
      </w:pPr>
      <w:r>
        <w:t xml:space="preserve">What to watch</w:t>
      </w:r>
    </w:p>
    <w:p>
      <w:pPr>
        <w:pStyle w:val="Compact"/>
        <w:numPr>
          <w:ilvl w:val="0"/>
          <w:numId w:val="1003"/>
        </w:numPr>
      </w:pPr>
      <w:r>
        <w:rPr>
          <w:b/>
          <w:bCs/>
        </w:rPr>
        <w:t xml:space="preserve">Subscriber count:</w:t>
      </w:r>
      <w:r>
        <w:t xml:space="preserve"> </w:t>
      </w:r>
      <w:r>
        <w:t xml:space="preserve">WBD should remain comfortably on track for more than 150 million by year-end. The quality and monetization of additions matter more than the absolute number.</w:t>
      </w:r>
    </w:p>
    <w:p>
      <w:pPr>
        <w:pStyle w:val="Compact"/>
        <w:numPr>
          <w:ilvl w:val="0"/>
          <w:numId w:val="1003"/>
        </w:numPr>
      </w:pPr>
      <w:r>
        <w:rPr>
          <w:b/>
          <w:bCs/>
        </w:rPr>
        <w:t xml:space="preserve">Subscriber-related revenue:</w:t>
      </w:r>
      <w:r>
        <w:t xml:space="preserve"> </w:t>
      </w:r>
      <w:r>
        <w:t xml:space="preserve">Management previously said growth should accelerate in Q2 and through the remainder of 2026.</w:t>
      </w:r>
    </w:p>
    <w:p>
      <w:pPr>
        <w:pStyle w:val="Compact"/>
        <w:numPr>
          <w:ilvl w:val="0"/>
          <w:numId w:val="1003"/>
        </w:numPr>
      </w:pPr>
      <w:r>
        <w:rPr>
          <w:b/>
          <w:bCs/>
        </w:rPr>
        <w:t xml:space="preserve">Distribution revenue:</w:t>
      </w:r>
      <w:r>
        <w:t xml:space="preserve"> </w:t>
      </w:r>
      <w:r>
        <w:t xml:space="preserve">The unfavorable comparison from a domestic distribution renewal was expected to be lapped by the end of May.</w:t>
      </w:r>
    </w:p>
    <w:p>
      <w:pPr>
        <w:pStyle w:val="Compact"/>
        <w:numPr>
          <w:ilvl w:val="0"/>
          <w:numId w:val="1003"/>
        </w:numPr>
      </w:pPr>
      <w:r>
        <w:rPr>
          <w:b/>
          <w:bCs/>
        </w:rPr>
        <w:t xml:space="preserve">Advertising:</w:t>
      </w:r>
      <w:r>
        <w:t xml:space="preserve"> </w:t>
      </w:r>
      <w:r>
        <w:t xml:space="preserve">The absence of the NBA creates a roughly</w:t>
      </w:r>
      <w:r>
        <w:t xml:space="preserve"> </w:t>
      </w:r>
      <w:r>
        <w:rPr>
          <w:b/>
          <w:bCs/>
        </w:rPr>
        <w:t xml:space="preserve">16% ex-FX headwind</w:t>
      </w:r>
      <w:r>
        <w:t xml:space="preserve"> </w:t>
      </w:r>
      <w:r>
        <w:t xml:space="preserve">to Streaming advertising revenue in Q2.</w:t>
      </w:r>
    </w:p>
    <w:p>
      <w:pPr>
        <w:pStyle w:val="Compact"/>
        <w:numPr>
          <w:ilvl w:val="0"/>
          <w:numId w:val="1003"/>
        </w:numPr>
      </w:pPr>
      <w:r>
        <w:rPr>
          <w:b/>
          <w:bCs/>
        </w:rPr>
        <w:t xml:space="preserve">Margins:</w:t>
      </w:r>
      <w:r>
        <w:t xml:space="preserve"> </w:t>
      </w:r>
      <w:r>
        <w:t xml:space="preserve">Marketing and content investments associated with European launches may remain elevated, but investors should expect continued year-over-year EBITDA growth.</w:t>
      </w:r>
    </w:p>
    <w:p>
      <w:pPr>
        <w:pStyle w:val="FirstParagraph"/>
      </w:pPr>
      <w:r>
        <w:rPr>
          <w:b/>
          <w:bCs/>
        </w:rPr>
        <w:t xml:space="preserve">Positive read:</w:t>
      </w:r>
      <w:r>
        <w:t xml:space="preserve"> </w:t>
      </w:r>
      <w:r>
        <w:t xml:space="preserve">Double-digit subscriber-related revenue growth or clear acceleration, continued subscriber momentum and expanding EBITDA despite launch investments.</w:t>
      </w:r>
    </w:p>
    <w:p>
      <w:pPr>
        <w:pStyle w:val="BodyText"/>
      </w:pPr>
      <w:r>
        <w:rPr>
          <w:b/>
          <w:bCs/>
        </w:rPr>
        <w:t xml:space="preserve">Negative read:</w:t>
      </w:r>
      <w:r>
        <w:t xml:space="preserve"> </w:t>
      </w:r>
      <w:r>
        <w:t xml:space="preserve">Subscriber growth without corresponding revenue growth, weak international monetization, or a material sequential decline in Streaming EBITDA.</w:t>
      </w:r>
    </w:p>
    <w:p>
      <w:r>
        <w:pict>
          <v:rect style="width:0;height:1.5pt" o:hralign="center" o:hrstd="t" o:hr="t"/>
        </w:pict>
      </w:r>
    </w:p>
    <w:bookmarkEnd w:id="11"/>
    <w:bookmarkEnd w:id="12"/>
    <w:bookmarkStart w:id="14" w:name="Xa99c908a449968c2264998559b2d34b2b93a46c"/>
    <w:p>
      <w:pPr>
        <w:pStyle w:val="Heading2"/>
      </w:pPr>
      <w:r>
        <w:t xml:space="preserve">2. Studios faces a deliberately difficult comparison</w:t>
      </w:r>
    </w:p>
    <w:p>
      <w:pPr>
        <w:pStyle w:val="FirstParagraph"/>
      </w:pPr>
      <w:r>
        <w:t xml:space="preserve">Q1 Studios results were exceptionally strong, with revenue rising 31% ex-FX and adjusted EBITDA reaching $775 million. Much of the growth reflected internal licensing tied to international HBO Max expansion.</w:t>
      </w:r>
    </w:p>
    <w:p>
      <w:pPr>
        <w:pStyle w:val="BodyText"/>
      </w:pPr>
      <w:r>
        <w:t xml:space="preserve">Q2 is a tougher test. Management explicitly warned that the segment would compare against:</w:t>
      </w:r>
    </w:p>
    <w:p>
      <w:pPr>
        <w:pStyle w:val="Compact"/>
        <w:numPr>
          <w:ilvl w:val="0"/>
          <w:numId w:val="1004"/>
        </w:numPr>
      </w:pPr>
      <w:r>
        <w:t xml:space="preserve">The strong 2025 theatrical performance of</w:t>
      </w:r>
      <w:r>
        <w:t xml:space="preserve"> </w:t>
      </w:r>
      <w:r>
        <w:rPr>
          <w:i/>
          <w:iCs/>
        </w:rPr>
        <w:t xml:space="preserve">A Minecraft Movie</w:t>
      </w:r>
      <w:r>
        <w:t xml:space="preserve">,</w:t>
      </w:r>
      <w:r>
        <w:t xml:space="preserve"> </w:t>
      </w:r>
      <w:r>
        <w:rPr>
          <w:i/>
          <w:iCs/>
        </w:rPr>
        <w:t xml:space="preserve">Sinners</w:t>
      </w:r>
      <w:r>
        <w:t xml:space="preserve"> </w:t>
      </w:r>
      <w:r>
        <w:t xml:space="preserve">and</w:t>
      </w:r>
      <w:r>
        <w:t xml:space="preserve"> </w:t>
      </w:r>
      <w:r>
        <w:rPr>
          <w:i/>
          <w:iCs/>
        </w:rPr>
        <w:t xml:space="preserve">Final Destination: Bloodlines</w:t>
      </w:r>
      <w:r>
        <w:t xml:space="preserve">.</w:t>
      </w:r>
    </w:p>
    <w:p>
      <w:pPr>
        <w:pStyle w:val="Compact"/>
        <w:numPr>
          <w:ilvl w:val="0"/>
          <w:numId w:val="1004"/>
        </w:numPr>
      </w:pPr>
      <w:r>
        <w:t xml:space="preserve">A large internal TV-library licensing renewal recognized in Q2 2025.</w:t>
      </w:r>
    </w:p>
    <w:p>
      <w:pPr>
        <w:pStyle w:val="FirstParagraph"/>
      </w:pPr>
      <w:r>
        <w:t xml:space="preserve">Q2 2025 Studios adjusted EBITDA was $863 million, making a year-over-year decline likely and not necessarily indicative of deterioration.</w:t>
      </w:r>
    </w:p>
    <w:bookmarkStart w:id="13" w:name="Xb2dd4a5ddaf66c254c99a8593e0a20ee77f1000"/>
    <w:p>
      <w:pPr>
        <w:pStyle w:val="Heading3"/>
      </w:pPr>
      <w:r>
        <w:t xml:space="preserve">What matters more than the headline comparison</w:t>
      </w:r>
    </w:p>
    <w:p>
      <w:pPr>
        <w:pStyle w:val="Compact"/>
        <w:numPr>
          <w:ilvl w:val="0"/>
          <w:numId w:val="1005"/>
        </w:numPr>
      </w:pPr>
      <w:r>
        <w:t xml:space="preserve">Whether management reiterates that</w:t>
      </w:r>
      <w:r>
        <w:t xml:space="preserve"> </w:t>
      </w:r>
      <w:r>
        <w:rPr>
          <w:b/>
          <w:bCs/>
        </w:rPr>
        <w:t xml:space="preserve">2026 Studios adjusted EBITDA should be approximately flat with 2025</w:t>
      </w:r>
      <w:r>
        <w:t xml:space="preserve">.</w:t>
      </w:r>
    </w:p>
    <w:p>
      <w:pPr>
        <w:pStyle w:val="Compact"/>
        <w:numPr>
          <w:ilvl w:val="0"/>
          <w:numId w:val="1005"/>
        </w:numPr>
      </w:pPr>
      <w:r>
        <w:t xml:space="preserve">Progress toward the longer-term target of at least</w:t>
      </w:r>
      <w:r>
        <w:t xml:space="preserve"> </w:t>
      </w:r>
      <w:r>
        <w:rPr>
          <w:b/>
          <w:bCs/>
        </w:rPr>
        <w:t xml:space="preserve">$3 billion in annual Studios adjusted EBITDA</w:t>
      </w:r>
      <w:r>
        <w:t xml:space="preserve">.</w:t>
      </w:r>
    </w:p>
    <w:p>
      <w:pPr>
        <w:pStyle w:val="Compact"/>
        <w:numPr>
          <w:ilvl w:val="0"/>
          <w:numId w:val="1005"/>
        </w:numPr>
      </w:pPr>
      <w:r>
        <w:t xml:space="preserve">Commentary on the 2026–2027 film slate and TV production deliveries.</w:t>
      </w:r>
    </w:p>
    <w:p>
      <w:pPr>
        <w:pStyle w:val="Compact"/>
        <w:numPr>
          <w:ilvl w:val="0"/>
          <w:numId w:val="1005"/>
        </w:numPr>
      </w:pPr>
      <w:r>
        <w:t xml:space="preserve">Games performance, which has recently been a weak point.</w:t>
      </w:r>
    </w:p>
    <w:p>
      <w:pPr>
        <w:pStyle w:val="Compact"/>
        <w:numPr>
          <w:ilvl w:val="0"/>
          <w:numId w:val="1005"/>
        </w:numPr>
      </w:pPr>
      <w:r>
        <w:t xml:space="preserve">The amount of intercompany licensing and associated eliminations, which can make segment-level growth look stronger than consolidated economics.</w:t>
      </w:r>
    </w:p>
    <w:p>
      <w:pPr>
        <w:pStyle w:val="FirstParagraph"/>
      </w:pPr>
      <w:r>
        <w:t xml:space="preserve">A result below Q2 2025 can still be satisfactory if the full-year outlook remains intact and the underlying film, television and library businesses perform as planned.</w:t>
      </w:r>
    </w:p>
    <w:p>
      <w:r>
        <w:pict>
          <v:rect style="width:0;height:1.5pt" o:hralign="center" o:hrstd="t" o:hr="t"/>
        </w:pict>
      </w:r>
    </w:p>
    <w:bookmarkEnd w:id="13"/>
    <w:bookmarkEnd w:id="14"/>
    <w:bookmarkStart w:id="16" w:name="X414d101c93d43d4093ae3640c6b318cf465f26a"/>
    <w:p>
      <w:pPr>
        <w:pStyle w:val="Heading2"/>
      </w:pPr>
      <w:r>
        <w:t xml:space="preserve">3. Linear Networks: focus on EBITDA, not just advertising</w:t>
      </w:r>
    </w:p>
    <w:p>
      <w:pPr>
        <w:pStyle w:val="FirstParagraph"/>
      </w:pPr>
      <w:r>
        <w:t xml:space="preserve">Global Linear Networks remains WBD’s largest EBITDA contributor, but it is structurally declining. In Q1:</w:t>
      </w:r>
    </w:p>
    <w:p>
      <w:pPr>
        <w:pStyle w:val="Compact"/>
        <w:numPr>
          <w:ilvl w:val="0"/>
          <w:numId w:val="1006"/>
        </w:numPr>
      </w:pPr>
      <w:r>
        <w:t xml:space="preserve">Revenue fell</w:t>
      </w:r>
      <w:r>
        <w:t xml:space="preserve"> </w:t>
      </w:r>
      <w:r>
        <w:rPr>
          <w:b/>
          <w:bCs/>
        </w:rPr>
        <w:t xml:space="preserve">9% ex-FX</w:t>
      </w:r>
      <w:r>
        <w:t xml:space="preserve">.</w:t>
      </w:r>
    </w:p>
    <w:p>
      <w:pPr>
        <w:pStyle w:val="Compact"/>
        <w:numPr>
          <w:ilvl w:val="0"/>
          <w:numId w:val="1006"/>
        </w:numPr>
      </w:pPr>
      <w:r>
        <w:t xml:space="preserve">Adjusted EBITDA fell</w:t>
      </w:r>
      <w:r>
        <w:t xml:space="preserve"> </w:t>
      </w:r>
      <w:r>
        <w:rPr>
          <w:b/>
          <w:bCs/>
        </w:rPr>
        <w:t xml:space="preserve">10% ex-FX</w:t>
      </w:r>
      <w:r>
        <w:t xml:space="preserve">.</w:t>
      </w:r>
    </w:p>
    <w:p>
      <w:pPr>
        <w:pStyle w:val="Compact"/>
        <w:numPr>
          <w:ilvl w:val="0"/>
          <w:numId w:val="1006"/>
        </w:numPr>
      </w:pPr>
      <w:r>
        <w:t xml:space="preserve">Domestic pay-TV subscribers declined 10%.</w:t>
      </w:r>
    </w:p>
    <w:p>
      <w:pPr>
        <w:pStyle w:val="Compact"/>
        <w:numPr>
          <w:ilvl w:val="0"/>
          <w:numId w:val="1006"/>
        </w:numPr>
      </w:pPr>
      <w:r>
        <w:t xml:space="preserve">Domestic affiliate rates increased 2%.</w:t>
      </w:r>
    </w:p>
    <w:p>
      <w:pPr>
        <w:pStyle w:val="FirstParagraph"/>
      </w:pPr>
      <w:r>
        <w:t xml:space="preserve">Q2 advertising will contain severe sports-related distortions. Management expects the absence of the NBA to reduce year-over-year advertising revenue by approximately</w:t>
      </w:r>
      <w:r>
        <w:t xml:space="preserve"> </w:t>
      </w:r>
      <w:r>
        <w:rPr>
          <w:b/>
          <w:bCs/>
        </w:rPr>
        <w:t xml:space="preserve">20% ex-FX</w:t>
      </w:r>
      <w:r>
        <w:t xml:space="preserve">, partly offset by an approximately</w:t>
      </w:r>
      <w:r>
        <w:t xml:space="preserve"> </w:t>
      </w:r>
      <w:r>
        <w:rPr>
          <w:b/>
          <w:bCs/>
        </w:rPr>
        <w:t xml:space="preserve">four-percentage-point benefit</w:t>
      </w:r>
      <w:r>
        <w:t xml:space="preserve"> </w:t>
      </w:r>
      <w:r>
        <w:t xml:space="preserve">from carrying the NCAA Final Four and championship game and not carrying the NHL Stanley Cup Final.</w:t>
      </w:r>
    </w:p>
    <w:p>
      <w:pPr>
        <w:pStyle w:val="BodyText"/>
      </w:pPr>
      <w:r>
        <w:t xml:space="preserve">Crucially, management has said the loss of the NBA should be</w:t>
      </w:r>
      <w:r>
        <w:t xml:space="preserve"> </w:t>
      </w:r>
      <w:r>
        <w:rPr>
          <w:b/>
          <w:bCs/>
        </w:rPr>
        <w:t xml:space="preserve">beneficial to first-half adjusted EBITDA</w:t>
      </w:r>
      <w:r>
        <w:t xml:space="preserve">, because rights-cost savings should exceed the lost advertising revenue.</w:t>
      </w:r>
    </w:p>
    <w:bookmarkStart w:id="15" w:name="the-real-test"/>
    <w:p>
      <w:pPr>
        <w:pStyle w:val="Heading3"/>
      </w:pPr>
      <w:r>
        <w:t xml:space="preserve">The real test</w:t>
      </w:r>
    </w:p>
    <w:p>
      <w:pPr>
        <w:pStyle w:val="FirstParagraph"/>
      </w:pPr>
      <w:r>
        <w:t xml:space="preserve">Investors should judge Linear Networks on whether:</w:t>
      </w:r>
    </w:p>
    <w:p>
      <w:pPr>
        <w:pStyle w:val="Compact"/>
        <w:numPr>
          <w:ilvl w:val="0"/>
          <w:numId w:val="1007"/>
        </w:numPr>
      </w:pPr>
      <w:r>
        <w:t xml:space="preserve">EBITDA declines remain roughly in line with or better than revenue declines.</w:t>
      </w:r>
    </w:p>
    <w:p>
      <w:pPr>
        <w:pStyle w:val="Compact"/>
        <w:numPr>
          <w:ilvl w:val="0"/>
          <w:numId w:val="1007"/>
        </w:numPr>
      </w:pPr>
      <w:r>
        <w:t xml:space="preserve">Cost reductions offset the sports-related revenue pressure.</w:t>
      </w:r>
    </w:p>
    <w:p>
      <w:pPr>
        <w:pStyle w:val="Compact"/>
        <w:numPr>
          <w:ilvl w:val="0"/>
          <w:numId w:val="1007"/>
        </w:numPr>
      </w:pPr>
      <w:r>
        <w:t xml:space="preserve">Domestic affiliate-rate increases continue despite cord-cutting.</w:t>
      </w:r>
    </w:p>
    <w:p>
      <w:pPr>
        <w:pStyle w:val="Compact"/>
        <w:numPr>
          <w:ilvl w:val="0"/>
          <w:numId w:val="1007"/>
        </w:numPr>
      </w:pPr>
      <w:r>
        <w:t xml:space="preserve">International networks remain more resilient than the U.S. portfolio.</w:t>
      </w:r>
    </w:p>
    <w:p>
      <w:pPr>
        <w:pStyle w:val="Compact"/>
        <w:numPr>
          <w:ilvl w:val="0"/>
          <w:numId w:val="1007"/>
        </w:numPr>
      </w:pPr>
      <w:r>
        <w:t xml:space="preserve">Management maintains its expectation for a</w:t>
      </w:r>
      <w:r>
        <w:t xml:space="preserve"> </w:t>
      </w:r>
      <w:r>
        <w:rPr>
          <w:b/>
          <w:bCs/>
        </w:rPr>
        <w:t xml:space="preserve">high-single-digit improvement in full-year operating expenses</w:t>
      </w:r>
      <w:r>
        <w:t xml:space="preserve">.</w:t>
      </w:r>
    </w:p>
    <w:p>
      <w:pPr>
        <w:pStyle w:val="FirstParagraph"/>
      </w:pPr>
      <w:r>
        <w:t xml:space="preserve">A large advertising decline is already expected. The more concerning outcome would be a sharper-than-anticipated EBITDA decline despite the NBA cost savings.</w:t>
      </w:r>
    </w:p>
    <w:p>
      <w:r>
        <w:pict>
          <v:rect style="width:0;height:1.5pt" o:hralign="center" o:hrstd="t" o:hr="t"/>
        </w:pict>
      </w:r>
    </w:p>
    <w:bookmarkEnd w:id="15"/>
    <w:bookmarkEnd w:id="16"/>
    <w:bookmarkStart w:id="17" w:name="X01916f7a87b58ad61a625c91bf7f6797fabd142"/>
    <w:p>
      <w:pPr>
        <w:pStyle w:val="Heading2"/>
      </w:pPr>
      <w:r>
        <w:t xml:space="preserve">4. Free cash flow and leverage are increasingly important</w:t>
      </w:r>
    </w:p>
    <w:p>
      <w:pPr>
        <w:pStyle w:val="FirstParagraph"/>
      </w:pPr>
      <w:r>
        <w:t xml:space="preserve">Q1 free cash flow was negative $476 million, reflecting content investment, taxes, working-capital timing and about $100 million of separation- and transaction-related costs. Q1 is seasonally WBD’s weakest cash-flow quarter, so Q2 should improve substantially.</w:t>
      </w:r>
    </w:p>
    <w:p>
      <w:pPr>
        <w:pStyle w:val="BodyText"/>
      </w:pPr>
      <w:r>
        <w:t xml:space="preserve">The prior-year comparison is demanding: Q2 2025 produced $702 million of free cash flow despite approximately $250 million of separation expenses.</w:t>
      </w:r>
    </w:p>
    <w:p>
      <w:pPr>
        <w:pStyle w:val="BodyText"/>
      </w:pPr>
      <w:r>
        <w:t xml:space="preserve">Key questions include:</w:t>
      </w:r>
    </w:p>
    <w:p>
      <w:pPr>
        <w:pStyle w:val="Compact"/>
        <w:numPr>
          <w:ilvl w:val="0"/>
          <w:numId w:val="1008"/>
        </w:numPr>
      </w:pPr>
      <w:r>
        <w:t xml:space="preserve">How much free cash flow rebounded in Q2.</w:t>
      </w:r>
    </w:p>
    <w:p>
      <w:pPr>
        <w:pStyle w:val="Compact"/>
        <w:numPr>
          <w:ilvl w:val="0"/>
          <w:numId w:val="1008"/>
        </w:numPr>
      </w:pPr>
      <w:r>
        <w:t xml:space="preserve">The amount of incremental legal, advisory and financing costs related to the delayed merger.</w:t>
      </w:r>
    </w:p>
    <w:p>
      <w:pPr>
        <w:pStyle w:val="Compact"/>
        <w:numPr>
          <w:ilvl w:val="0"/>
          <w:numId w:val="1008"/>
        </w:numPr>
      </w:pPr>
      <w:r>
        <w:t xml:space="preserve">Whether net debt declined from Q1’s $30.1 billion.</w:t>
      </w:r>
    </w:p>
    <w:p>
      <w:pPr>
        <w:pStyle w:val="Compact"/>
        <w:numPr>
          <w:ilvl w:val="0"/>
          <w:numId w:val="1008"/>
        </w:numPr>
      </w:pPr>
      <w:r>
        <w:t xml:space="preserve">Whether leverage remains near 3.4x.</w:t>
      </w:r>
    </w:p>
    <w:p>
      <w:pPr>
        <w:pStyle w:val="Compact"/>
        <w:numPr>
          <w:ilvl w:val="0"/>
          <w:numId w:val="1008"/>
        </w:numPr>
      </w:pPr>
      <w:r>
        <w:t xml:space="preserve">Whether transaction costs threaten WBD’s historical underlying free-cash-flow conversion range of 33%–50%.</w:t>
      </w:r>
    </w:p>
    <w:p>
      <w:pPr>
        <w:pStyle w:val="FirstParagraph"/>
      </w:pPr>
      <w:r>
        <w:t xml:space="preserve">With closing potentially delayed well into 2027, WBD may need to operate independently for several additional quarters. Sustained positive free cash flow would help protect the standalone valuation if the deal ultimately fails.</w:t>
      </w:r>
    </w:p>
    <w:p>
      <w:r>
        <w:pict>
          <v:rect style="width:0;height:1.5pt" o:hralign="center" o:hrstd="t" o:hr="t"/>
        </w:pict>
      </w:r>
    </w:p>
    <w:bookmarkEnd w:id="17"/>
    <w:bookmarkStart w:id="19" w:name="X364710e20dea2c7ebb6d498df69a4c384264ece"/>
    <w:p>
      <w:pPr>
        <w:pStyle w:val="Heading2"/>
      </w:pPr>
      <w:r>
        <w:t xml:space="preserve">5. The merger update will dominate the stock reaction</w:t>
      </w:r>
    </w:p>
    <w:p>
      <w:pPr>
        <w:pStyle w:val="FirstParagraph"/>
      </w:pPr>
      <w:r>
        <w:t xml:space="preserve">The original agreement calls for</w:t>
      </w:r>
      <w:r>
        <w:t xml:space="preserve"> </w:t>
      </w:r>
      <m:oMath>
        <m:r>
          <m:t>31</m:t>
        </m:r>
        <m:r>
          <m:t>p</m:t>
        </m:r>
        <m:r>
          <m:t>e</m:t>
        </m:r>
        <m:r>
          <m:t>r</m:t>
        </m:r>
        <m:r>
          <m:t>s</m:t>
        </m:r>
        <m:r>
          <m:t>h</m:t>
        </m:r>
        <m:r>
          <m:t>a</m:t>
        </m:r>
        <m:r>
          <m:t>r</m:t>
        </m:r>
        <m:r>
          <m:t>e</m:t>
        </m:r>
        <m:r>
          <m:t>i</m:t>
        </m:r>
        <m:r>
          <m:t>n</m:t>
        </m:r>
        <m:r>
          <m:t>c</m:t>
        </m:r>
        <m:r>
          <m:t>a</m:t>
        </m:r>
        <m:r>
          <m:t>s</m:t>
        </m:r>
        <m:r>
          <m:t>h</m:t>
        </m:r>
        <m:r>
          <m:rPr>
            <m:sty m:val="p"/>
          </m:rPr>
          <m:t>*</m:t>
        </m:r>
        <m:r>
          <m:rPr>
            <m:sty m:val="p"/>
          </m:rPr>
          <m:t>*</m:t>
        </m:r>
        <m:r>
          <m:rPr>
            <m:sty m:val="p"/>
          </m:rPr>
          <m:t>,</m:t>
        </m:r>
        <m:r>
          <m:t>p</m:t>
        </m:r>
        <m:r>
          <m:t>l</m:t>
        </m:r>
        <m:r>
          <m:t>u</m:t>
        </m:r>
        <m:r>
          <m:t>s</m:t>
        </m:r>
        <m:r>
          <m:t>a</m:t>
        </m:r>
        <m:r>
          <m:t>p</m:t>
        </m:r>
        <m:r>
          <m:t>p</m:t>
        </m:r>
        <m:r>
          <m:t>r</m:t>
        </m:r>
        <m:r>
          <m:t>o</m:t>
        </m:r>
        <m:r>
          <m:t>x</m:t>
        </m:r>
        <m:r>
          <m:t>i</m:t>
        </m:r>
        <m:r>
          <m:t>m</m:t>
        </m:r>
        <m:r>
          <m:t>a</m:t>
        </m:r>
        <m:r>
          <m:t>t</m:t>
        </m:r>
        <m:r>
          <m:t>e</m:t>
        </m:r>
        <m:r>
          <m:t>l</m:t>
        </m:r>
        <m:r>
          <m:t>y</m:t>
        </m:r>
        <m:r>
          <m:rPr>
            <m:sty m:val="p"/>
          </m:rPr>
          <m:t>*</m:t>
        </m:r>
        <m:r>
          <m:rPr>
            <m:sty m:val="p"/>
          </m:rPr>
          <m:t>*</m:t>
        </m:r>
      </m:oMath>
      <w:r>
        <w:rPr>
          <w:b/>
          <w:bCs/>
        </w:rPr>
        <w:t xml:space="preserve">0.25 for every 90 days after September 30, 2026</w:t>
      </w:r>
      <w:r>
        <w:t xml:space="preserve">. Paramount also owes WBD a</w:t>
      </w:r>
      <w:r>
        <w:t xml:space="preserve"> </w:t>
      </w:r>
      <w:r>
        <w:rPr>
          <w:b/>
          <w:bCs/>
        </w:rPr>
        <w:t xml:space="preserve">$7 billion regulatory termination fee</w:t>
      </w:r>
      <w:r>
        <w:t xml:space="preserve"> </w:t>
      </w:r>
      <w:r>
        <w:t xml:space="preserve">under specified antitrust-related termination circumstances.</w:t>
      </w:r>
    </w:p>
    <w:p>
      <w:pPr>
        <w:pStyle w:val="BodyText"/>
      </w:pPr>
      <w:r>
        <w:t xml:space="preserve">The federal government cleared the transaction, but 12 state attorneys general sued in July to block it. Closing is now paused pending a court ruling or until June 1, 2027, and the antitrust trial is scheduled for March 2, 2027.</w:t>
      </w:r>
    </w:p>
    <w:bookmarkStart w:id="18" w:name="what-investors-need-to-hear"/>
    <w:p>
      <w:pPr>
        <w:pStyle w:val="Heading3"/>
      </w:pPr>
      <w:r>
        <w:t xml:space="preserve">What investors need to hear</w:t>
      </w:r>
    </w:p>
    <w:p>
      <w:pPr>
        <w:pStyle w:val="Compact"/>
        <w:numPr>
          <w:ilvl w:val="0"/>
          <w:numId w:val="1009"/>
        </w:numPr>
      </w:pPr>
      <w:r>
        <w:t xml:space="preserve">Whether WBD still views Paramount as fully committed to litigating and closing.</w:t>
      </w:r>
    </w:p>
    <w:p>
      <w:pPr>
        <w:pStyle w:val="Compact"/>
        <w:numPr>
          <w:ilvl w:val="0"/>
          <w:numId w:val="1009"/>
        </w:numPr>
      </w:pPr>
      <w:r>
        <w:t xml:space="preserve">Whether the companies expect the existing merger agreement and ticking consideration to remain unchanged.</w:t>
      </w:r>
    </w:p>
    <w:p>
      <w:pPr>
        <w:pStyle w:val="Compact"/>
        <w:numPr>
          <w:ilvl w:val="0"/>
          <w:numId w:val="1009"/>
        </w:numPr>
      </w:pPr>
      <w:r>
        <w:t xml:space="preserve">The expected cash cost of operating through the extended timeline.</w:t>
      </w:r>
    </w:p>
    <w:p>
      <w:pPr>
        <w:pStyle w:val="Compact"/>
        <w:numPr>
          <w:ilvl w:val="0"/>
          <w:numId w:val="1009"/>
        </w:numPr>
      </w:pPr>
      <w:r>
        <w:t xml:space="preserve">Whether the delay is affecting employee retention, customer relationships, content investment or strategic decisions.</w:t>
      </w:r>
    </w:p>
    <w:p>
      <w:pPr>
        <w:pStyle w:val="Compact"/>
        <w:numPr>
          <w:ilvl w:val="0"/>
          <w:numId w:val="1009"/>
        </w:numPr>
      </w:pPr>
      <w:r>
        <w:t xml:space="preserve">Whether WBD will provide financial guidance for the longer standalone period.</w:t>
      </w:r>
    </w:p>
    <w:p>
      <w:pPr>
        <w:pStyle w:val="FirstParagraph"/>
      </w:pPr>
      <w:r>
        <w:t xml:space="preserve">Management declined to answer transaction questions on the Q1 call. It may again limit discussion, but the dramatic change in timing makes some update necessary. Any suggestion of weakening commitment, renegotiation or operating disruption would likely outweigh a strong quarterly result.</w:t>
      </w:r>
    </w:p>
    <w:p>
      <w:r>
        <w:pict>
          <v:rect style="width:0;height:1.5pt" o:hralign="center" o:hrstd="t" o:hr="t"/>
        </w:pict>
      </w:r>
    </w:p>
    <w:bookmarkEnd w:id="18"/>
    <w:bookmarkEnd w:id="19"/>
    <w:bookmarkStart w:id="22" w:name="earnings-scorecard"/>
    <w:p>
      <w:pPr>
        <w:pStyle w:val="Heading2"/>
      </w:pPr>
      <w:r>
        <w:t xml:space="preserve">Earnings scorecard</w:t>
      </w:r>
    </w:p>
    <w:bookmarkStart w:id="20" w:name="a-clearly-positive-report-would-include"/>
    <w:p>
      <w:pPr>
        <w:pStyle w:val="Heading3"/>
      </w:pPr>
      <w:r>
        <w:t xml:space="preserve">A clearly positive report would include</w:t>
      </w:r>
    </w:p>
    <w:p>
      <w:pPr>
        <w:pStyle w:val="Compact"/>
        <w:numPr>
          <w:ilvl w:val="0"/>
          <w:numId w:val="1010"/>
        </w:numPr>
      </w:pPr>
      <w:r>
        <w:t xml:space="preserve">Accelerating Streaming subscriber-related revenue.</w:t>
      </w:r>
    </w:p>
    <w:p>
      <w:pPr>
        <w:pStyle w:val="Compact"/>
        <w:numPr>
          <w:ilvl w:val="0"/>
          <w:numId w:val="1010"/>
        </w:numPr>
      </w:pPr>
      <w:r>
        <w:t xml:space="preserve">Continued progress toward more than 150 million subscribers.</w:t>
      </w:r>
    </w:p>
    <w:p>
      <w:pPr>
        <w:pStyle w:val="Compact"/>
        <w:numPr>
          <w:ilvl w:val="0"/>
          <w:numId w:val="1010"/>
        </w:numPr>
      </w:pPr>
      <w:r>
        <w:t xml:space="preserve">Streaming EBITDA growth despite international investments.</w:t>
      </w:r>
    </w:p>
    <w:p>
      <w:pPr>
        <w:pStyle w:val="Compact"/>
        <w:numPr>
          <w:ilvl w:val="0"/>
          <w:numId w:val="1010"/>
        </w:numPr>
      </w:pPr>
      <w:r>
        <w:t xml:space="preserve">Linear EBITDA benefiting from lower NBA costs.</w:t>
      </w:r>
    </w:p>
    <w:p>
      <w:pPr>
        <w:pStyle w:val="Compact"/>
        <w:numPr>
          <w:ilvl w:val="0"/>
          <w:numId w:val="1010"/>
        </w:numPr>
      </w:pPr>
      <w:r>
        <w:t xml:space="preserve">A meaningful Q2 free-cash-flow rebound and stable or lower leverage.</w:t>
      </w:r>
    </w:p>
    <w:p>
      <w:pPr>
        <w:pStyle w:val="Compact"/>
        <w:numPr>
          <w:ilvl w:val="0"/>
          <w:numId w:val="1010"/>
        </w:numPr>
      </w:pPr>
      <w:r>
        <w:t xml:space="preserve">Reiteration of the Studios full-year outlook.</w:t>
      </w:r>
    </w:p>
    <w:p>
      <w:pPr>
        <w:pStyle w:val="Compact"/>
        <w:numPr>
          <w:ilvl w:val="0"/>
          <w:numId w:val="1010"/>
        </w:numPr>
      </w:pPr>
      <w:r>
        <w:t xml:space="preserve">Confidence that the Paramount agreement remains intact and enforceable.</w:t>
      </w:r>
    </w:p>
    <w:bookmarkEnd w:id="20"/>
    <w:bookmarkStart w:id="21" w:name="a-clearly-negative-report-would-include"/>
    <w:p>
      <w:pPr>
        <w:pStyle w:val="Heading3"/>
      </w:pPr>
      <w:r>
        <w:t xml:space="preserve">A clearly negative report would include</w:t>
      </w:r>
    </w:p>
    <w:p>
      <w:pPr>
        <w:pStyle w:val="Compact"/>
        <w:numPr>
          <w:ilvl w:val="0"/>
          <w:numId w:val="1011"/>
        </w:numPr>
      </w:pPr>
      <w:r>
        <w:t xml:space="preserve">Weak Streaming monetization despite subscriber growth.</w:t>
      </w:r>
    </w:p>
    <w:p>
      <w:pPr>
        <w:pStyle w:val="Compact"/>
        <w:numPr>
          <w:ilvl w:val="0"/>
          <w:numId w:val="1011"/>
        </w:numPr>
      </w:pPr>
      <w:r>
        <w:t xml:space="preserve">A reduction in the year-end subscriber outlook.</w:t>
      </w:r>
    </w:p>
    <w:p>
      <w:pPr>
        <w:pStyle w:val="Compact"/>
        <w:numPr>
          <w:ilvl w:val="0"/>
          <w:numId w:val="1011"/>
        </w:numPr>
      </w:pPr>
      <w:r>
        <w:t xml:space="preserve">Linear EBITDA declining materially faster than revenue.</w:t>
      </w:r>
    </w:p>
    <w:p>
      <w:pPr>
        <w:pStyle w:val="Compact"/>
        <w:numPr>
          <w:ilvl w:val="0"/>
          <w:numId w:val="1011"/>
        </w:numPr>
      </w:pPr>
      <w:r>
        <w:t xml:space="preserve">Another weak cash-flow quarter or rising net leverage.</w:t>
      </w:r>
    </w:p>
    <w:p>
      <w:pPr>
        <w:pStyle w:val="Compact"/>
        <w:numPr>
          <w:ilvl w:val="0"/>
          <w:numId w:val="1011"/>
        </w:numPr>
      </w:pPr>
      <w:r>
        <w:t xml:space="preserve">A cut to Studios expectations.</w:t>
      </w:r>
    </w:p>
    <w:p>
      <w:pPr>
        <w:pStyle w:val="Compact"/>
        <w:numPr>
          <w:ilvl w:val="0"/>
          <w:numId w:val="1011"/>
        </w:numPr>
      </w:pPr>
      <w:r>
        <w:t xml:space="preserve">Signs that the merger delay is impairing operations.</w:t>
      </w:r>
    </w:p>
    <w:p>
      <w:pPr>
        <w:pStyle w:val="Compact"/>
        <w:numPr>
          <w:ilvl w:val="0"/>
          <w:numId w:val="1011"/>
        </w:numPr>
      </w:pPr>
      <w:r>
        <w:t xml:space="preserve">Uncertainty around ticking consideration, financing or Paramount’s commitment.</w:t>
      </w:r>
    </w:p>
    <w:p>
      <w:r>
        <w:pict>
          <v:rect style="width:0;height:1.5pt" o:hralign="center" o:hrstd="t" o:hr="t"/>
        </w:pict>
      </w:r>
    </w:p>
    <w:bookmarkEnd w:id="21"/>
    <w:bookmarkEnd w:id="22"/>
    <w:bookmarkStart w:id="23" w:name="bottom-line"/>
    <w:p>
      <w:pPr>
        <w:pStyle w:val="Heading2"/>
      </w:pPr>
      <w:r>
        <w:t xml:space="preserve">Bottom line</w:t>
      </w:r>
    </w:p>
    <w:p>
      <w:pPr>
        <w:pStyle w:val="FirstParagraph"/>
      </w:pPr>
      <w:r>
        <w:rPr>
          <w:b/>
          <w:bCs/>
        </w:rPr>
        <w:t xml:space="preserve">The central question is not whether WBD beats quarterly earnings expectations—it is whether the operating business is strong enough to support the stock while investors wait for an uncertain merger outcome.</w:t>
      </w:r>
    </w:p>
    <w:p>
      <w:pPr>
        <w:pStyle w:val="BodyText"/>
      </w:pPr>
      <w:r>
        <w:t xml:space="preserve">The best result would combine continued Streaming acceleration, controlled Linear declines and strong cash generation. That would both improve WBD’s standalone downside protection and reduce the risk that the extended regulatory process damages the company.</w:t>
      </w:r>
    </w:p>
    <w:p>
      <w:pPr>
        <w:pStyle w:val="BodyText"/>
      </w:pPr>
      <w:r>
        <w:t xml:space="preserve">Conversely, weak operating performance would make the stock increasingly dependent on the Paramount deal closing. With WBD trading at $25.99 against a $31 cash offer, the market is already assigning substantial weight to that risk.</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2026-08-06T00:08:34Z</dcterms:created>
  <dcterms:modified xsi:type="dcterms:W3CDTF">2026-08-06T00:08:34Z</dcterms:modified>
</cp:coreProperties>
</file>

<file path=docProps/custom.xml><?xml version="1.0" encoding="utf-8"?>
<Properties xmlns="http://schemas.openxmlformats.org/officeDocument/2006/custom-properties" xmlns:vt="http://schemas.openxmlformats.org/officeDocument/2006/docPropsVTypes"/>
</file>