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wbd-q2-2026-earnings-preview"/>
    <w:p>
      <w:pPr>
        <w:pStyle w:val="Heading1"/>
      </w:pPr>
      <w:r>
        <w:t xml:space="preserve">WBD Q2 2026 Earnings Preview</w:t>
      </w:r>
    </w:p>
    <w:p>
      <w:pPr>
        <w:pStyle w:val="FirstParagraph"/>
      </w:pPr>
      <w:r>
        <w:rPr>
          <w:b/>
          <w:bCs/>
        </w:rPr>
        <w:t xml:space="preserve">Reporting date:</w:t>
      </w:r>
      <w:r>
        <w:t xml:space="preserve"> </w:t>
      </w:r>
      <w:r>
        <w:t xml:space="preserve">Thursday, August 6, 2026</w:t>
      </w:r>
      <w:r>
        <w:br/>
      </w:r>
      <w:r>
        <w:rPr>
          <w:b/>
          <w:bCs/>
        </w:rPr>
        <w:t xml:space="preserve">Event:</w:t>
      </w:r>
      <w:r>
        <w:t xml:space="preserve"> </w:t>
      </w:r>
      <w:r>
        <w:t xml:space="preserve">2026 Q2 earnings call</w:t>
      </w:r>
    </w:p>
    <w:bookmarkStart w:id="9" w:name="Xd75368f32a60716dd78ec9c7070f3f902b96afb"/>
    <w:p>
      <w:pPr>
        <w:pStyle w:val="Heading2"/>
      </w:pPr>
      <w:r>
        <w:t xml:space="preserve">Investment view: earnings matter, but the merger process is the dominant near-term variable</w:t>
      </w:r>
    </w:p>
    <w:p>
      <w:pPr>
        <w:pStyle w:val="FirstParagraph"/>
      </w:pPr>
      <w:r>
        <w:t xml:space="preserve">Warner Bros. Discovery enters Q2 results with improving operating momentum in Streaming and Studios, offset by the structural decline in Global Linear Networks. However, the stock is currently driven less by a conventional earnings debate than by the delayed Paramount Skydance transaction.</w:t>
      </w:r>
    </w:p>
    <w:p>
      <w:pPr>
        <w:pStyle w:val="BodyText"/>
      </w:pPr>
      <w:r>
        <w:t xml:space="preserve">WBD closed at</w:t>
      </w:r>
      <w:r>
        <w:t xml:space="preserve"> </w:t>
      </w:r>
      <m:oMath>
        <m:r>
          <m:t>25.99</m:t>
        </m:r>
        <m:r>
          <m:t>o</m:t>
        </m:r>
        <m:r>
          <m:t>n</m:t>
        </m:r>
        <m:r>
          <m:t>A</m:t>
        </m:r>
        <m:r>
          <m:t>u</m:t>
        </m:r>
        <m:r>
          <m:t>g</m:t>
        </m:r>
        <m:r>
          <m:t>u</m:t>
        </m:r>
        <m:r>
          <m:t>s</m:t>
        </m:r>
        <m:r>
          <m:t>t</m:t>
        </m:r>
        <m:r>
          <m:t>5</m:t>
        </m:r>
        <m:r>
          <m:rPr>
            <m:sty m:val="p"/>
          </m:rPr>
          <m:t>*</m:t>
        </m:r>
        <m:r>
          <m:rPr>
            <m:sty m:val="p"/>
          </m:rPr>
          <m:t>*</m:t>
        </m:r>
        <m:r>
          <m:rPr>
            <m:sty m:val="p"/>
          </m:rPr>
          <m:t>,</m:t>
        </m:r>
        <m:r>
          <m:t>v</m:t>
        </m:r>
        <m:r>
          <m:t>e</m:t>
        </m:r>
        <m:r>
          <m:t>r</m:t>
        </m:r>
        <m:r>
          <m:t>s</m:t>
        </m:r>
        <m:r>
          <m:t>u</m:t>
        </m:r>
        <m:r>
          <m:t>s</m:t>
        </m:r>
        <m:r>
          <m:t>P</m:t>
        </m:r>
        <m:r>
          <m:t>a</m:t>
        </m:r>
        <m:r>
          <m:t>r</m:t>
        </m:r>
        <m:r>
          <m:t>a</m:t>
        </m:r>
        <m:r>
          <m:t>m</m:t>
        </m:r>
        <m:r>
          <m:t>o</m:t>
        </m:r>
        <m:r>
          <m:t>u</m:t>
        </m:r>
        <m:r>
          <m:t>n</m:t>
        </m:r>
        <m:r>
          <m:t>t</m:t>
        </m:r>
        <m:r>
          <m:t>S</m:t>
        </m:r>
        <m:r>
          <m:t>k</m:t>
        </m:r>
        <m:r>
          <m:t>y</m:t>
        </m:r>
        <m:r>
          <m:t>d</m:t>
        </m:r>
        <m:r>
          <m:t>a</m:t>
        </m:r>
        <m:r>
          <m:t>n</m:t>
        </m:r>
        <m:r>
          <m:t>c</m:t>
        </m:r>
        <m:r>
          <m:t>e</m:t>
        </m:r>
        <m:r>
          <m:rPr>
            <m:sty m:val="p"/>
          </m:rPr>
          <m:t>’</m:t>
        </m:r>
        <m:r>
          <m:t>s</m:t>
        </m:r>
        <m:r>
          <m:t>a</m:t>
        </m:r>
        <m:r>
          <m:t>g</m:t>
        </m:r>
        <m:r>
          <m:t>r</m:t>
        </m:r>
        <m:r>
          <m:t>e</m:t>
        </m:r>
        <m:r>
          <m:t>e</m:t>
        </m:r>
        <m:r>
          <m:t>d</m:t>
        </m:r>
        <m:r>
          <m:rPr>
            <m:sty m:val="p"/>
          </m:rPr>
          <m:t>*</m:t>
        </m:r>
        <m:r>
          <m:rPr>
            <m:sty m:val="p"/>
          </m:rPr>
          <m:t>*</m:t>
        </m:r>
      </m:oMath>
      <w:r>
        <w:rPr>
          <w:b/>
          <w:bCs/>
        </w:rPr>
        <w:t xml:space="preserve">31.00-per-share cash offer</w:t>
      </w:r>
      <w:r>
        <w:t xml:space="preserve">—a</w:t>
      </w:r>
      <w:r>
        <w:t xml:space="preserve"> </w:t>
      </w:r>
      <w:r>
        <w:rPr>
          <w:b/>
          <w:bCs/>
        </w:rPr>
        <w:t xml:space="preserve">$5.01/share spread</w:t>
      </w:r>
      <w:r>
        <w:t xml:space="preserve">, or roughly</w:t>
      </w:r>
      <w:r>
        <w:t xml:space="preserve"> </w:t>
      </w:r>
      <w:r>
        <w:rPr>
          <w:b/>
          <w:bCs/>
        </w:rPr>
        <w:t xml:space="preserve">19.3% gross upside</w:t>
      </w:r>
      <w:r>
        <w:t xml:space="preserve"> </w:t>
      </w:r>
      <w:r>
        <w:t xml:space="preserve">to the deal price. The spread reflects substantial uncertainty: the transaction has been paused amid state antitrust litigation, with the parties now targeting a resolution no later than</w:t>
      </w:r>
      <w:r>
        <w:t xml:space="preserve"> </w:t>
      </w:r>
      <w:r>
        <w:rPr>
          <w:b/>
          <w:bCs/>
        </w:rPr>
        <w:t xml:space="preserve">June 1, 2027</w:t>
      </w:r>
      <w:r>
        <w:t xml:space="preserve"> </w:t>
      </w:r>
      <w:r>
        <w:t xml:space="preserve">and a trial scheduled for</w:t>
      </w:r>
      <w:r>
        <w:t xml:space="preserve"> </w:t>
      </w:r>
      <w:r>
        <w:rPr>
          <w:b/>
          <w:bCs/>
        </w:rPr>
        <w:t xml:space="preserve">March 2, 2027</w:t>
      </w:r>
      <w:r>
        <w:t xml:space="preserve">. That makes this report important primarily for assessing WBD’s standalone earnings power, liquidity, and ability to operate effectively through an extended period of deal limbo.</w:t>
      </w:r>
    </w:p>
    <w:bookmarkEnd w:id="9"/>
    <w:bookmarkStart w:id="10" w:name="what-matters-most-on-thursday"/>
    <w:p>
      <w:pPr>
        <w:pStyle w:val="Heading2"/>
      </w:pPr>
      <w:r>
        <w:t xml:space="preserve">What matters most on Thursday</w:t>
      </w:r>
    </w:p>
    <w:p>
      <w:pPr>
        <w:pStyle w:val="Compact"/>
        <w:numPr>
          <w:ilvl w:val="0"/>
          <w:numId w:val="1001"/>
        </w:numPr>
      </w:pPr>
      <w:r>
        <w:rPr>
          <w:b/>
          <w:bCs/>
        </w:rPr>
        <w:t xml:space="preserve">HBO Max subscriber and revenue momentum following the European launches</w:t>
      </w:r>
    </w:p>
    <w:p>
      <w:pPr>
        <w:pStyle w:val="Compact"/>
        <w:numPr>
          <w:ilvl w:val="0"/>
          <w:numId w:val="1001"/>
        </w:numPr>
      </w:pPr>
      <w:r>
        <w:rPr>
          <w:b/>
          <w:bCs/>
        </w:rPr>
        <w:t xml:space="preserve">Streaming EBITDA conversion as launch-related marketing spending normalizes</w:t>
      </w:r>
    </w:p>
    <w:p>
      <w:pPr>
        <w:pStyle w:val="Compact"/>
        <w:numPr>
          <w:ilvl w:val="0"/>
          <w:numId w:val="1001"/>
        </w:numPr>
      </w:pPr>
      <w:r>
        <w:rPr>
          <w:b/>
          <w:bCs/>
        </w:rPr>
        <w:t xml:space="preserve">Warner Bros. Studios’ ability to sustain elevated profitability against a difficult Q2 2025 comparison</w:t>
      </w:r>
    </w:p>
    <w:p>
      <w:pPr>
        <w:pStyle w:val="Compact"/>
        <w:numPr>
          <w:ilvl w:val="0"/>
          <w:numId w:val="1001"/>
        </w:numPr>
      </w:pPr>
      <w:r>
        <w:rPr>
          <w:b/>
          <w:bCs/>
        </w:rPr>
        <w:t xml:space="preserve">The pace of linear-network revenue and EBITDA erosion</w:t>
      </w:r>
    </w:p>
    <w:p>
      <w:pPr>
        <w:pStyle w:val="Compact"/>
        <w:numPr>
          <w:ilvl w:val="0"/>
          <w:numId w:val="1001"/>
        </w:numPr>
      </w:pPr>
      <w:r>
        <w:rPr>
          <w:b/>
          <w:bCs/>
        </w:rPr>
        <w:t xml:space="preserve">Free-cash-flow recovery, debt, and transaction/separation cash costs</w:t>
      </w:r>
    </w:p>
    <w:p>
      <w:pPr>
        <w:pStyle w:val="Compact"/>
        <w:numPr>
          <w:ilvl w:val="0"/>
          <w:numId w:val="1001"/>
        </w:numPr>
      </w:pPr>
      <w:r>
        <w:rPr>
          <w:b/>
          <w:bCs/>
        </w:rPr>
        <w:t xml:space="preserve">Any incremental disclosure on the Paramount Skydance deal—though management may again limit discussion</w:t>
      </w:r>
    </w:p>
    <w:p>
      <w:r>
        <w:pict>
          <v:rect style="width:0;height:1.5pt" o:hralign="center" o:hrstd="t" o:hr="t"/>
        </w:pict>
      </w:r>
    </w:p>
    <w:bookmarkEnd w:id="10"/>
    <w:bookmarkStart w:id="11" w:name="X053c8ee094ef12005f0da5df18740a8b21156c4"/>
    <w:p>
      <w:pPr>
        <w:pStyle w:val="Heading2"/>
      </w:pPr>
      <w:r>
        <w:t xml:space="preserve">Q2 setup: difficult comparisons, with a favorable Streaming trajectory</w:t>
      </w:r>
    </w:p>
    <w:p>
      <w:pPr>
        <w:pStyle w:val="FirstParagraph"/>
      </w:pPr>
      <w:r>
        <w:t xml:space="preserve">WBD’s year-ago Q2 establishes a relatively demanding profitability base: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 in billions, except where noted</w:t>
            </w:r>
          </w:p>
        </w:tc>
        <w:tc>
          <w:tcPr/>
          <w:p>
            <w:pPr>
              <w:pStyle w:val="Compact"/>
              <w:jc w:val="right"/>
            </w:pPr>
            <w:r>
              <w:t xml:space="preserve">Q2 2025 actual</w:t>
            </w:r>
          </w:p>
        </w:tc>
      </w:tr>
      <w:tr>
        <w:tc>
          <w:tcPr/>
          <w:p>
            <w:pPr>
              <w:pStyle w:val="Compact"/>
            </w:pPr>
            <w:r>
              <w:t xml:space="preserve">Revenue</w:t>
            </w:r>
          </w:p>
        </w:tc>
        <w:tc>
          <w:tcPr/>
          <w:p>
            <w:pPr>
              <w:pStyle w:val="Compact"/>
              <w:jc w:val="right"/>
            </w:pPr>
            <w:r>
              <w:t xml:space="preserve">$9.8</w:t>
            </w:r>
          </w:p>
        </w:tc>
      </w:tr>
      <w:tr>
        <w:tc>
          <w:tcPr/>
          <w:p>
            <w:pPr>
              <w:pStyle w:val="Compact"/>
            </w:pPr>
            <w:r>
              <w:t xml:space="preserve">Adjusted EBITDA</w:t>
            </w:r>
          </w:p>
        </w:tc>
        <w:tc>
          <w:tcPr/>
          <w:p>
            <w:pPr>
              <w:pStyle w:val="Compact"/>
              <w:jc w:val="right"/>
            </w:pPr>
            <w:r>
              <w:t xml:space="preserve">$2.0</w:t>
            </w:r>
          </w:p>
        </w:tc>
      </w:tr>
      <w:tr>
        <w:tc>
          <w:tcPr/>
          <w:p>
            <w:pPr>
              <w:pStyle w:val="Compact"/>
            </w:pPr>
            <w:r>
              <w:t xml:space="preserve">Free cash flow</w:t>
            </w:r>
          </w:p>
        </w:tc>
        <w:tc>
          <w:tcPr/>
          <w:p>
            <w:pPr>
              <w:pStyle w:val="Compact"/>
              <w:jc w:val="right"/>
            </w:pPr>
            <w:r>
              <w:t xml:space="preserve">$0.7</w:t>
            </w:r>
          </w:p>
        </w:tc>
      </w:tr>
      <w:tr>
        <w:tc>
          <w:tcPr/>
          <w:p>
            <w:pPr>
              <w:pStyle w:val="Compact"/>
            </w:pPr>
            <w:r>
              <w:t xml:space="preserve">Streaming revenue</w:t>
            </w:r>
          </w:p>
        </w:tc>
        <w:tc>
          <w:tcPr/>
          <w:p>
            <w:pPr>
              <w:pStyle w:val="Compact"/>
              <w:jc w:val="right"/>
            </w:pPr>
            <w:r>
              <w:t xml:space="preserve">$2.8</w:t>
            </w:r>
          </w:p>
        </w:tc>
      </w:tr>
      <w:tr>
        <w:tc>
          <w:tcPr/>
          <w:p>
            <w:pPr>
              <w:pStyle w:val="Compact"/>
            </w:pPr>
            <w:r>
              <w:t xml:space="preserve">Streaming Adjusted EBITDA</w:t>
            </w:r>
          </w:p>
        </w:tc>
        <w:tc>
          <w:tcPr/>
          <w:p>
            <w:pPr>
              <w:pStyle w:val="Compact"/>
              <w:jc w:val="right"/>
            </w:pPr>
            <w:r>
              <w:t xml:space="preserve">$0.3</w:t>
            </w:r>
          </w:p>
        </w:tc>
      </w:tr>
      <w:tr>
        <w:tc>
          <w:tcPr/>
          <w:p>
            <w:pPr>
              <w:pStyle w:val="Compact"/>
            </w:pPr>
            <w:r>
              <w:t xml:space="preserve">Studios Adjusted EBITDA</w:t>
            </w:r>
          </w:p>
        </w:tc>
        <w:tc>
          <w:tcPr/>
          <w:p>
            <w:pPr>
              <w:pStyle w:val="Compact"/>
              <w:jc w:val="right"/>
            </w:pPr>
            <w:r>
              <w:t xml:space="preserve">$0.9</w:t>
            </w:r>
          </w:p>
        </w:tc>
      </w:tr>
      <w:tr>
        <w:tc>
          <w:tcPr/>
          <w:p>
            <w:pPr>
              <w:pStyle w:val="Compact"/>
            </w:pPr>
            <w:r>
              <w:t xml:space="preserve">Global Linear Networks Adjusted EBITDA</w:t>
            </w:r>
          </w:p>
        </w:tc>
        <w:tc>
          <w:tcPr/>
          <w:p>
            <w:pPr>
              <w:pStyle w:val="Compact"/>
              <w:jc w:val="right"/>
            </w:pPr>
            <w:r>
              <w:t xml:space="preserve">$1.5</w:t>
            </w:r>
          </w:p>
        </w:tc>
      </w:tr>
    </w:tbl>
    <w:p>
      <w:pPr>
        <w:pStyle w:val="BodyText"/>
      </w:pPr>
      <w:r>
        <w:t xml:space="preserve">The key issue is mix. In Q2 2025, Studios generated</w:t>
      </w:r>
      <w:r>
        <w:t xml:space="preserve"> </w:t>
      </w:r>
      <m:oMath>
        <m:r>
          <m:t>863</m:t>
        </m:r>
        <m:r>
          <m:t>m</m:t>
        </m:r>
        <m:r>
          <m:t>i</m:t>
        </m:r>
        <m:r>
          <m:t>l</m:t>
        </m:r>
        <m:r>
          <m:t>l</m:t>
        </m:r>
        <m:r>
          <m:t>i</m:t>
        </m:r>
        <m:r>
          <m:t>o</m:t>
        </m:r>
        <m:r>
          <m:t>n</m:t>
        </m:r>
        <m:r>
          <m:rPr>
            <m:sty m:val="p"/>
          </m:rPr>
          <m:t>*</m:t>
        </m:r>
        <m:r>
          <m:rPr>
            <m:sty m:val="p"/>
          </m:rPr>
          <m:t>*</m:t>
        </m:r>
        <m:r>
          <m:t>o</m:t>
        </m:r>
        <m:r>
          <m:t>f</m:t>
        </m:r>
        <m:r>
          <m:t>E</m:t>
        </m:r>
        <m:r>
          <m:t>B</m:t>
        </m:r>
        <m:r>
          <m:t>I</m:t>
        </m:r>
        <m:r>
          <m:t>T</m:t>
        </m:r>
        <m:r>
          <m:t>D</m:t>
        </m:r>
        <m:r>
          <m:t>A</m:t>
        </m:r>
        <m:r>
          <m:rPr>
            <m:sty m:val="p"/>
          </m:rPr>
          <m:t>,</m:t>
        </m:r>
        <m:r>
          <m:t>a</m:t>
        </m:r>
        <m:r>
          <m:t>i</m:t>
        </m:r>
        <m:r>
          <m:t>d</m:t>
        </m:r>
        <m:r>
          <m:t>e</m:t>
        </m:r>
        <m:r>
          <m:t>d</m:t>
        </m:r>
        <m:r>
          <m:t>b</m:t>
        </m:r>
        <m:r>
          <m:t>y</m:t>
        </m:r>
        <m:r>
          <m:t>s</m:t>
        </m:r>
        <m:r>
          <m:t>t</m:t>
        </m:r>
        <m:r>
          <m:t>r</m:t>
        </m:r>
        <m:r>
          <m:t>o</m:t>
        </m:r>
        <m:r>
          <m:t>n</m:t>
        </m:r>
        <m:r>
          <m:t>g</m:t>
        </m:r>
        <m:r>
          <m:t>t</m:t>
        </m:r>
        <m:r>
          <m:t>h</m:t>
        </m:r>
        <m:r>
          <m:t>e</m:t>
        </m:r>
        <m:r>
          <m:t>a</m:t>
        </m:r>
        <m:r>
          <m:t>t</m:t>
        </m:r>
        <m:r>
          <m:t>r</m:t>
        </m:r>
        <m:r>
          <m:t>i</m:t>
        </m:r>
        <m:r>
          <m:t>c</m:t>
        </m:r>
        <m:r>
          <m:t>a</m:t>
        </m:r>
        <m:r>
          <m:t>l</m:t>
        </m:r>
        <m:r>
          <m:t>p</m:t>
        </m:r>
        <m:r>
          <m:t>e</m:t>
        </m:r>
        <m:r>
          <m:t>r</m:t>
        </m:r>
        <m:r>
          <m:t>f</m:t>
        </m:r>
        <m:r>
          <m:t>o</m:t>
        </m:r>
        <m:r>
          <m:t>r</m:t>
        </m:r>
        <m:r>
          <m:t>m</m:t>
        </m:r>
        <m:r>
          <m:t>a</m:t>
        </m:r>
        <m:r>
          <m:t>n</m:t>
        </m:r>
        <m:r>
          <m:t>c</m:t>
        </m:r>
        <m:r>
          <m:t>e</m:t>
        </m:r>
        <m:r>
          <m:t>a</m:t>
        </m:r>
        <m:r>
          <m:t>n</m:t>
        </m:r>
        <m:r>
          <m:t>d</m:t>
        </m:r>
        <m:r>
          <m:t>f</m:t>
        </m:r>
        <m:r>
          <m:t>a</m:t>
        </m:r>
        <m:r>
          <m:t>v</m:t>
        </m:r>
        <m:r>
          <m:t>o</m:t>
        </m:r>
        <m:r>
          <m:t>r</m:t>
        </m:r>
        <m:r>
          <m:t>a</m:t>
        </m:r>
        <m:r>
          <m:t>b</m:t>
        </m:r>
        <m:r>
          <m:t>l</m:t>
        </m:r>
        <m:r>
          <m:t>e</m:t>
        </m:r>
        <m:r>
          <m:t>t</m:t>
        </m:r>
        <m:r>
          <m:t>e</m:t>
        </m:r>
        <m:r>
          <m:t>l</m:t>
        </m:r>
        <m:r>
          <m:t>e</m:t>
        </m:r>
        <m:r>
          <m:t>v</m:t>
        </m:r>
        <m:r>
          <m:t>i</m:t>
        </m:r>
        <m:r>
          <m:t>s</m:t>
        </m:r>
        <m:r>
          <m:t>i</m:t>
        </m:r>
        <m:r>
          <m:t>o</m:t>
        </m:r>
        <m:r>
          <m:t>n</m:t>
        </m:r>
        <m:r>
          <m:rPr>
            <m:sty m:val="p"/>
          </m:rPr>
          <m:t>−</m:t>
        </m:r>
        <m:r>
          <m:t>l</m:t>
        </m:r>
        <m:r>
          <m:t>i</m:t>
        </m:r>
        <m:r>
          <m:t>c</m:t>
        </m:r>
        <m:r>
          <m:t>e</m:t>
        </m:r>
        <m:r>
          <m:t>n</m:t>
        </m:r>
        <m:r>
          <m:t>s</m:t>
        </m:r>
        <m:r>
          <m:t>i</m:t>
        </m:r>
        <m:r>
          <m:t>n</m:t>
        </m:r>
        <m:r>
          <m:t>g</m:t>
        </m:r>
        <m:r>
          <m:t>t</m:t>
        </m:r>
        <m:r>
          <m:t>i</m:t>
        </m:r>
        <m:r>
          <m:t>m</m:t>
        </m:r>
        <m:r>
          <m:t>i</m:t>
        </m:r>
        <m:r>
          <m:t>n</m:t>
        </m:r>
        <m:r>
          <m:t>g</m:t>
        </m:r>
        <m:r>
          <m:rPr>
            <m:sty m:val="p"/>
          </m:rPr>
          <m:t>.</m:t>
        </m:r>
        <m:r>
          <m:t>T</m:t>
        </m:r>
        <m:r>
          <m:t>h</m:t>
        </m:r>
        <m:r>
          <m:t>a</m:t>
        </m:r>
        <m:r>
          <m:t>t</m:t>
        </m:r>
        <m:r>
          <m:t>i</m:t>
        </m:r>
        <m:r>
          <m:t>s</m:t>
        </m:r>
        <m:r>
          <m:t>a</m:t>
        </m:r>
        <m:r>
          <m:t>s</m:t>
        </m:r>
        <m:r>
          <m:t>u</m:t>
        </m:r>
        <m:r>
          <m:t>b</m:t>
        </m:r>
        <m:r>
          <m:t>s</m:t>
        </m:r>
        <m:r>
          <m:t>t</m:t>
        </m:r>
        <m:r>
          <m:t>a</m:t>
        </m:r>
        <m:r>
          <m:t>n</m:t>
        </m:r>
        <m:r>
          <m:t>t</m:t>
        </m:r>
        <m:r>
          <m:t>i</m:t>
        </m:r>
        <m:r>
          <m:t>a</m:t>
        </m:r>
        <m:r>
          <m:t>l</m:t>
        </m:r>
        <m:r>
          <m:t>c</m:t>
        </m:r>
        <m:r>
          <m:t>o</m:t>
        </m:r>
        <m:r>
          <m:t>m</m:t>
        </m:r>
        <m:r>
          <m:t>p</m:t>
        </m:r>
        <m:r>
          <m:t>a</m:t>
        </m:r>
        <m:r>
          <m:t>r</m:t>
        </m:r>
        <m:r>
          <m:t>i</m:t>
        </m:r>
        <m:r>
          <m:t>s</m:t>
        </m:r>
        <m:r>
          <m:t>o</m:t>
        </m:r>
        <m:r>
          <m:t>n</m:t>
        </m:r>
        <m:r>
          <m:t>h</m:t>
        </m:r>
        <m:r>
          <m:t>u</m:t>
        </m:r>
        <m:r>
          <m:t>r</m:t>
        </m:r>
        <m:r>
          <m:t>d</m:t>
        </m:r>
        <m:r>
          <m:t>l</m:t>
        </m:r>
        <m:r>
          <m:t>e</m:t>
        </m:r>
        <m:r>
          <m:rPr>
            <m:sty m:val="p"/>
          </m:rPr>
          <m:t>.</m:t>
        </m:r>
        <m:r>
          <m:t>C</m:t>
        </m:r>
        <m:r>
          <m:t>o</m:t>
        </m:r>
        <m:r>
          <m:t>n</m:t>
        </m:r>
        <m:r>
          <m:t>v</m:t>
        </m:r>
        <m:r>
          <m:t>e</m:t>
        </m:r>
        <m:r>
          <m:t>r</m:t>
        </m:r>
        <m:r>
          <m:t>s</m:t>
        </m:r>
        <m:r>
          <m:t>e</m:t>
        </m:r>
        <m:r>
          <m:t>l</m:t>
        </m:r>
        <m:r>
          <m:t>y</m:t>
        </m:r>
        <m:r>
          <m:rPr>
            <m:sty m:val="p"/>
          </m:rPr>
          <m:t>,</m:t>
        </m:r>
        <m:r>
          <m:t>S</m:t>
        </m:r>
        <m:r>
          <m:t>t</m:t>
        </m:r>
        <m:r>
          <m:t>r</m:t>
        </m:r>
        <m:r>
          <m:t>e</m:t>
        </m:r>
        <m:r>
          <m:t>a</m:t>
        </m:r>
        <m:r>
          <m:t>m</m:t>
        </m:r>
        <m:r>
          <m:t>i</m:t>
        </m:r>
        <m:r>
          <m:t>n</m:t>
        </m:r>
        <m:r>
          <m:t>g</m:t>
        </m:r>
        <m:r>
          <m:t>w</m:t>
        </m:r>
        <m:r>
          <m:t>a</m:t>
        </m:r>
        <m:r>
          <m:t>s</m:t>
        </m:r>
        <m:r>
          <m:t>s</m:t>
        </m:r>
        <m:r>
          <m:t>t</m:t>
        </m:r>
        <m:r>
          <m:t>i</m:t>
        </m:r>
        <m:r>
          <m:t>l</m:t>
        </m:r>
        <m:r>
          <m:t>l</m:t>
        </m:r>
        <m:r>
          <m:t>o</m:t>
        </m:r>
        <m:r>
          <m:t>n</m:t>
        </m:r>
        <m:r>
          <m:t>l</m:t>
        </m:r>
        <m:r>
          <m:t>y</m:t>
        </m:r>
        <m:r>
          <m:t>a</m:t>
        </m:r>
        <m:r>
          <m:rPr>
            <m:sty m:val="p"/>
          </m:rPr>
          <m:t>*</m:t>
        </m:r>
        <m:r>
          <m:rPr>
            <m:sty m:val="p"/>
          </m:rPr>
          <m:t>*</m:t>
        </m:r>
      </m:oMath>
      <w:r>
        <w:rPr>
          <w:b/>
          <w:bCs/>
        </w:rPr>
        <w:t xml:space="preserve">293 million</w:t>
      </w:r>
      <w:r>
        <w:t xml:space="preserve"> </w:t>
      </w:r>
      <w:r>
        <w:t xml:space="preserve">EBITDA contributor, leaving room for a much larger year-over-year improvement if subscriber growth and pricing outweigh international-launch costs.</w:t>
      </w:r>
    </w:p>
    <w:p>
      <w:pPr>
        <w:pStyle w:val="BodyText"/>
      </w:pPr>
      <w:r>
        <w:t xml:space="preserve">In Q1 2026, WBD delivered</w:t>
      </w:r>
      <w:r>
        <w:t xml:space="preserve"> </w:t>
      </w:r>
      <m:oMath>
        <m:r>
          <m:t>2.2</m:t>
        </m:r>
        <m:r>
          <m:t>b</m:t>
        </m:r>
        <m:r>
          <m:t>i</m:t>
        </m:r>
        <m:r>
          <m:t>l</m:t>
        </m:r>
        <m:r>
          <m:t>l</m:t>
        </m:r>
        <m:r>
          <m:t>i</m:t>
        </m:r>
        <m:r>
          <m:t>o</m:t>
        </m:r>
        <m:r>
          <m:t>n</m:t>
        </m:r>
        <m:r>
          <m:t>o</m:t>
        </m:r>
        <m:r>
          <m:t>f</m:t>
        </m:r>
        <m:r>
          <m:t>A</m:t>
        </m:r>
        <m:r>
          <m:t>d</m:t>
        </m:r>
        <m:r>
          <m:t>j</m:t>
        </m:r>
        <m:r>
          <m:t>u</m:t>
        </m:r>
        <m:r>
          <m:t>s</m:t>
        </m:r>
        <m:r>
          <m:t>t</m:t>
        </m:r>
        <m:r>
          <m:t>e</m:t>
        </m:r>
        <m:r>
          <m:t>d</m:t>
        </m:r>
        <m:r>
          <m:t>E</m:t>
        </m:r>
        <m:r>
          <m:t>B</m:t>
        </m:r>
        <m:r>
          <m:t>I</m:t>
        </m:r>
        <m:r>
          <m:t>T</m:t>
        </m:r>
        <m:r>
          <m:t>D</m:t>
        </m:r>
        <m:r>
          <m:t>A</m:t>
        </m:r>
        <m:r>
          <m:rPr>
            <m:sty m:val="p"/>
          </m:rPr>
          <m:t>*</m:t>
        </m:r>
        <m:r>
          <m:rPr>
            <m:sty m:val="p"/>
          </m:rPr>
          <m:t>*</m:t>
        </m:r>
        <m:r>
          <m:rPr>
            <m:sty m:val="p"/>
          </m:rPr>
          <m:t>,</m:t>
        </m:r>
        <m:r>
          <m:t>w</m:t>
        </m:r>
        <m:r>
          <m:t>i</m:t>
        </m:r>
        <m:r>
          <m:t>t</m:t>
        </m:r>
        <m:r>
          <m:t>h</m:t>
        </m:r>
        <m:r>
          <m:t>S</m:t>
        </m:r>
        <m:r>
          <m:t>t</m:t>
        </m:r>
        <m:r>
          <m:t>r</m:t>
        </m:r>
        <m:r>
          <m:t>e</m:t>
        </m:r>
        <m:r>
          <m:t>a</m:t>
        </m:r>
        <m:r>
          <m:t>m</m:t>
        </m:r>
        <m:r>
          <m:t>i</m:t>
        </m:r>
        <m:r>
          <m:t>n</m:t>
        </m:r>
        <m:r>
          <m:t>g</m:t>
        </m:r>
        <m:r>
          <m:t>E</m:t>
        </m:r>
        <m:r>
          <m:t>B</m:t>
        </m:r>
        <m:r>
          <m:t>I</m:t>
        </m:r>
        <m:r>
          <m:t>T</m:t>
        </m:r>
        <m:r>
          <m:t>D</m:t>
        </m:r>
        <m:r>
          <m:t>A</m:t>
        </m:r>
        <m:r>
          <m:t>u</m:t>
        </m:r>
        <m:r>
          <m:t>p</m:t>
        </m:r>
        <m:r>
          <m:rPr>
            <m:sty m:val="p"/>
          </m:rPr>
          <m:t>*</m:t>
        </m:r>
        <m:r>
          <m:rPr>
            <m:sty m:val="p"/>
          </m:rPr>
          <m:t>*</m:t>
        </m:r>
        <m:r>
          <m:t>17</m:t>
        </m:r>
      </m:oMath>
      <w:r>
        <w:rPr>
          <w:b/>
          <w:bCs/>
        </w:rPr>
        <w:t xml:space="preserve">438 million</w:t>
      </w:r>
      <w:r>
        <w:t xml:space="preserve"> </w:t>
      </w:r>
      <w:r>
        <w:t xml:space="preserve">and Studios EBITDA up</w:t>
      </w:r>
      <w:r>
        <w:t xml:space="preserve"> </w:t>
      </w:r>
      <w:r>
        <w:rPr>
          <w:b/>
          <w:bCs/>
        </w:rPr>
        <w:t xml:space="preserve">156% ex-FX</w:t>
      </w:r>
      <w:r>
        <w:t xml:space="preserve"> </w:t>
      </w:r>
      <w:r>
        <w:t xml:space="preserve">to</w:t>
      </w:r>
      <w:r>
        <w:t xml:space="preserve"> </w:t>
      </w:r>
      <m:oMath>
        <m:r>
          <m:t>775</m:t>
        </m:r>
        <m:r>
          <m:t>m</m:t>
        </m:r>
        <m:r>
          <m:t>i</m:t>
        </m:r>
        <m:r>
          <m:t>l</m:t>
        </m:r>
        <m:r>
          <m:t>l</m:t>
        </m:r>
        <m:r>
          <m:t>i</m:t>
        </m:r>
        <m:r>
          <m:t>o</m:t>
        </m:r>
        <m:r>
          <m:t>n</m:t>
        </m:r>
        <m:r>
          <m:rPr>
            <m:sty m:val="p"/>
          </m:rPr>
          <m:t>*</m:t>
        </m:r>
        <m:r>
          <m:rPr>
            <m:sty m:val="p"/>
          </m:rPr>
          <m:t>*</m:t>
        </m:r>
        <m:r>
          <m:rPr>
            <m:sty m:val="p"/>
          </m:rPr>
          <m:t>.</m:t>
        </m:r>
        <m:r>
          <m:t>T</m:t>
        </m:r>
        <m:r>
          <m:t>h</m:t>
        </m:r>
        <m:r>
          <m:t>e</m:t>
        </m:r>
        <m:r>
          <m:t>w</m:t>
        </m:r>
        <m:r>
          <m:t>e</m:t>
        </m:r>
        <m:r>
          <m:t>a</m:t>
        </m:r>
        <m:r>
          <m:t>k</m:t>
        </m:r>
        <m:r>
          <m:t>e</m:t>
        </m:r>
        <m:r>
          <m:t>r</m:t>
        </m:r>
        <m:r>
          <m:t>a</m:t>
        </m:r>
        <m:r>
          <m:t>r</m:t>
        </m:r>
        <m:r>
          <m:t>e</m:t>
        </m:r>
        <m:r>
          <m:t>a</m:t>
        </m:r>
        <m:r>
          <m:t>r</m:t>
        </m:r>
        <m:r>
          <m:t>e</m:t>
        </m:r>
        <m:r>
          <m:t>m</m:t>
        </m:r>
        <m:r>
          <m:t>a</m:t>
        </m:r>
        <m:r>
          <m:t>i</m:t>
        </m:r>
        <m:r>
          <m:t>n</m:t>
        </m:r>
        <m:r>
          <m:t>e</m:t>
        </m:r>
        <m:r>
          <m:t>d</m:t>
        </m:r>
        <m:r>
          <m:t>G</m:t>
        </m:r>
        <m:r>
          <m:t>l</m:t>
        </m:r>
        <m:r>
          <m:t>o</m:t>
        </m:r>
        <m:r>
          <m:t>b</m:t>
        </m:r>
        <m:r>
          <m:t>a</m:t>
        </m:r>
        <m:r>
          <m:t>l</m:t>
        </m:r>
        <m:r>
          <m:t>L</m:t>
        </m:r>
        <m:r>
          <m:t>i</m:t>
        </m:r>
        <m:r>
          <m:t>n</m:t>
        </m:r>
        <m:r>
          <m:t>e</m:t>
        </m:r>
        <m:r>
          <m:t>a</m:t>
        </m:r>
        <m:r>
          <m:t>r</m:t>
        </m:r>
        <m:r>
          <m:t>N</m:t>
        </m:r>
        <m:r>
          <m:t>e</m:t>
        </m:r>
        <m:r>
          <m:t>t</m:t>
        </m:r>
        <m:r>
          <m:t>w</m:t>
        </m:r>
        <m:r>
          <m:t>o</m:t>
        </m:r>
        <m:r>
          <m:t>r</m:t>
        </m:r>
        <m:r>
          <m:t>k</m:t>
        </m:r>
        <m:r>
          <m:t>s</m:t>
        </m:r>
        <m:r>
          <m:rPr>
            <m:sty m:val="p"/>
          </m:rPr>
          <m:t>,</m:t>
        </m:r>
        <m:r>
          <m:t>w</m:t>
        </m:r>
        <m:r>
          <m:t>h</m:t>
        </m:r>
        <m:r>
          <m:t>e</m:t>
        </m:r>
        <m:r>
          <m:t>r</m:t>
        </m:r>
        <m:r>
          <m:t>e</m:t>
        </m:r>
        <m:r>
          <m:t>E</m:t>
        </m:r>
        <m:r>
          <m:t>B</m:t>
        </m:r>
        <m:r>
          <m:t>I</m:t>
        </m:r>
        <m:r>
          <m:t>T</m:t>
        </m:r>
        <m:r>
          <m:t>D</m:t>
        </m:r>
        <m:r>
          <m:t>A</m:t>
        </m:r>
        <m:r>
          <m:t>d</m:t>
        </m:r>
        <m:r>
          <m:t>e</m:t>
        </m:r>
        <m:r>
          <m:t>c</m:t>
        </m:r>
        <m:r>
          <m:t>l</m:t>
        </m:r>
        <m:r>
          <m:t>i</m:t>
        </m:r>
        <m:r>
          <m:t>n</m:t>
        </m:r>
        <m:r>
          <m:t>e</m:t>
        </m:r>
        <m:r>
          <m:t>d</m:t>
        </m:r>
        <m:r>
          <m:rPr>
            <m:sty m:val="p"/>
          </m:rPr>
          <m:t>*</m:t>
        </m:r>
        <m:r>
          <m:rPr>
            <m:sty m:val="p"/>
          </m:rPr>
          <m:t>*</m:t>
        </m:r>
        <m:r>
          <m:t>10</m:t>
        </m:r>
      </m:oMath>
      <w:r>
        <w:rPr>
          <w:b/>
          <w:bCs/>
        </w:rPr>
        <w:t xml:space="preserve">1.63 billion</w:t>
      </w:r>
      <w:r>
        <w:t xml:space="preserve">.</w:t>
      </w:r>
    </w:p>
    <w:p>
      <w:r>
        <w:pict>
          <v:rect style="width:0;height:1.5pt" o:hralign="center" o:hrstd="t" o:hr="t"/>
        </w:pict>
      </w:r>
    </w:p>
    <w:bookmarkEnd w:id="11"/>
    <w:bookmarkStart w:id="14" w:name="Xb61900bc54fa235362a6088b0b7c2d49f3f6ac1"/>
    <w:p>
      <w:pPr>
        <w:pStyle w:val="Heading2"/>
      </w:pPr>
      <w:r>
        <w:t xml:space="preserve">1. Streaming: the most important underlying operating debate</w:t>
      </w:r>
    </w:p>
    <w:p>
      <w:pPr>
        <w:pStyle w:val="FirstParagraph"/>
      </w:pPr>
      <w:r>
        <w:t xml:space="preserve">Streaming has become WBD’s principal standalone growth asset. In Q1, Streaming revenue grew</w:t>
      </w:r>
      <w:r>
        <w:t xml:space="preserve"> </w:t>
      </w:r>
      <w:r>
        <w:rPr>
          <w:b/>
          <w:bCs/>
        </w:rPr>
        <w:t xml:space="preserve">7% ex-FX</w:t>
      </w:r>
      <w:r>
        <w:t xml:space="preserve">, subscriber-related revenue grew</w:t>
      </w:r>
      <w:r>
        <w:t xml:space="preserve"> </w:t>
      </w:r>
      <w:r>
        <w:rPr>
          <w:b/>
          <w:bCs/>
        </w:rPr>
        <w:t xml:space="preserve">8% ex-FX</w:t>
      </w:r>
      <w:r>
        <w:t xml:space="preserve">, and adjusted EBITDA reached</w:t>
      </w:r>
      <w:r>
        <w:t xml:space="preserve"> </w:t>
      </w:r>
      <w:r>
        <w:rPr>
          <w:b/>
          <w:bCs/>
        </w:rPr>
        <w:t xml:space="preserve">$438 million</w:t>
      </w:r>
      <w:r>
        <w:t xml:space="preserve">, despite elevated spending on launches in the U.K., Germany, Italy, and Ireland.</w:t>
      </w:r>
    </w:p>
    <w:p>
      <w:pPr>
        <w:pStyle w:val="BodyText"/>
      </w:pPr>
      <w:r>
        <w:t xml:space="preserve">Management said those launches pushed total subscribers above its prior</w:t>
      </w:r>
      <w:r>
        <w:t xml:space="preserve"> </w:t>
      </w:r>
      <w:r>
        <w:rPr>
          <w:b/>
          <w:bCs/>
        </w:rPr>
        <w:t xml:space="preserve">140 million</w:t>
      </w:r>
      <w:r>
        <w:t xml:space="preserve"> </w:t>
      </w:r>
      <w:r>
        <w:t xml:space="preserve">end-of-Q1 target and reiterated an expectation to finish 2026 with</w:t>
      </w:r>
      <w:r>
        <w:t xml:space="preserve"> </w:t>
      </w:r>
      <w:r>
        <w:rPr>
          <w:b/>
          <w:bCs/>
        </w:rPr>
        <w:t xml:space="preserve">more than 150 million subscribers</w:t>
      </w:r>
      <w:r>
        <w:t xml:space="preserve">. It also explicitly said subscriber-related revenue growth should “pick up real pace” in Q2 and through the remainder of the year.</w:t>
      </w:r>
    </w:p>
    <w:bookmarkStart w:id="12" w:name="what-investors-should-watch"/>
    <w:p>
      <w:pPr>
        <w:pStyle w:val="Heading3"/>
      </w:pPr>
      <w:r>
        <w:t xml:space="preserve">What investors should watch</w:t>
      </w:r>
    </w:p>
    <w:p>
      <w:pPr>
        <w:pStyle w:val="Compact"/>
        <w:numPr>
          <w:ilvl w:val="0"/>
          <w:numId w:val="1002"/>
        </w:numPr>
      </w:pPr>
      <w:r>
        <w:rPr>
          <w:b/>
          <w:bCs/>
        </w:rPr>
        <w:t xml:space="preserve">Net subscriber additions and the composition of those additions.</w:t>
      </w:r>
      <w:r>
        <w:t xml:space="preserve"> </w:t>
      </w:r>
      <w:r>
        <w:t xml:space="preserve">The headline count matters less than whether retail additions, especially in newly launched European markets, are contributing economically.</w:t>
      </w:r>
    </w:p>
    <w:p>
      <w:pPr>
        <w:pStyle w:val="Compact"/>
        <w:numPr>
          <w:ilvl w:val="0"/>
          <w:numId w:val="1002"/>
        </w:numPr>
      </w:pPr>
      <w:r>
        <w:rPr>
          <w:b/>
          <w:bCs/>
        </w:rPr>
        <w:t xml:space="preserve">Subscriber-related revenue growth.</w:t>
      </w:r>
      <w:r>
        <w:t xml:space="preserve"> </w:t>
      </w:r>
      <w:r>
        <w:t xml:space="preserve">This combines streaming distribution and advertising revenue, and is likely more informative than subscriber growth alone.</w:t>
      </w:r>
    </w:p>
    <w:p>
      <w:pPr>
        <w:pStyle w:val="Compact"/>
        <w:numPr>
          <w:ilvl w:val="0"/>
          <w:numId w:val="1002"/>
        </w:numPr>
      </w:pPr>
      <w:r>
        <w:rPr>
          <w:b/>
          <w:bCs/>
        </w:rPr>
        <w:t xml:space="preserve">International ARPU and wholesale-to-retail conversion.</w:t>
      </w:r>
      <w:r>
        <w:t xml:space="preserve"> </w:t>
      </w:r>
      <w:r>
        <w:t xml:space="preserve">WBD has identified migration toward retail customers as an accretive revenue and lifetime-value opportunity, but international expansion can initially dilute reported ARPU.</w:t>
      </w:r>
    </w:p>
    <w:p>
      <w:pPr>
        <w:pStyle w:val="Compact"/>
        <w:numPr>
          <w:ilvl w:val="0"/>
          <w:numId w:val="1002"/>
        </w:numPr>
      </w:pPr>
      <w:r>
        <w:rPr>
          <w:b/>
          <w:bCs/>
        </w:rPr>
        <w:t xml:space="preserve">Advertising.</w:t>
      </w:r>
      <w:r>
        <w:t xml:space="preserve"> </w:t>
      </w:r>
      <w:r>
        <w:t xml:space="preserve">Q1 streaming ad revenue rose</w:t>
      </w:r>
      <w:r>
        <w:t xml:space="preserve"> </w:t>
      </w:r>
      <w:r>
        <w:rPr>
          <w:b/>
          <w:bCs/>
        </w:rPr>
        <w:t xml:space="preserve">19% ex-FX</w:t>
      </w:r>
      <w:r>
        <w:t xml:space="preserve">, helped by ad-lite subscriber growth. Sustaining double-digit growth would reinforce the view that Streaming has multiple monetization levers.</w:t>
      </w:r>
    </w:p>
    <w:p>
      <w:pPr>
        <w:pStyle w:val="Compact"/>
        <w:numPr>
          <w:ilvl w:val="0"/>
          <w:numId w:val="1002"/>
        </w:numPr>
      </w:pPr>
      <w:r>
        <w:rPr>
          <w:b/>
          <w:bCs/>
        </w:rPr>
        <w:t xml:space="preserve">EBITDA margins.</w:t>
      </w:r>
      <w:r>
        <w:t xml:space="preserve"> </w:t>
      </w:r>
      <w:r>
        <w:t xml:space="preserve">Q1 launch marketing was elevated. A sequential margin improvement would demonstrate operating leverage from the global platform and content base.</w:t>
      </w:r>
    </w:p>
    <w:bookmarkEnd w:id="12"/>
    <w:bookmarkStart w:id="13" w:name="why-it-matters"/>
    <w:p>
      <w:pPr>
        <w:pStyle w:val="Heading3"/>
      </w:pPr>
      <w:r>
        <w:t xml:space="preserve">Why it matters</w:t>
      </w:r>
    </w:p>
    <w:p>
      <w:pPr>
        <w:pStyle w:val="FirstParagraph"/>
      </w:pPr>
      <w:r>
        <w:t xml:space="preserve">The bullish standalone thesis rests on HBO Max becoming a scaled, global, profitable streaming platform. WBD has already moved from historical DTC losses to positive EBITDA, and the question now is whether the service can sustain high-single-digit or better revenue growth while expanding margins. A miss on subscriber monetization, or a step-up in churn after the European launches, would weaken that thesis quickly.</w:t>
      </w:r>
    </w:p>
    <w:p>
      <w:r>
        <w:pict>
          <v:rect style="width:0;height:1.5pt" o:hralign="center" o:hrstd="t" o:hr="t"/>
        </w:pict>
      </w:r>
    </w:p>
    <w:bookmarkEnd w:id="13"/>
    <w:bookmarkEnd w:id="14"/>
    <w:bookmarkStart w:id="17" w:name="Xf5532c9a606058788239d7f734579fb0bced0d1"/>
    <w:p>
      <w:pPr>
        <w:pStyle w:val="Heading2"/>
      </w:pPr>
      <w:r>
        <w:t xml:space="preserve">2. Studios: strong asset quality, but a high bar after last year</w:t>
      </w:r>
    </w:p>
    <w:p>
      <w:pPr>
        <w:pStyle w:val="FirstParagraph"/>
      </w:pPr>
      <w:r>
        <w:t xml:space="preserve">Studios was the standout segment in Q1, with revenue up</w:t>
      </w:r>
      <w:r>
        <w:t xml:space="preserve"> </w:t>
      </w:r>
      <w:r>
        <w:rPr>
          <w:b/>
          <w:bCs/>
        </w:rPr>
        <w:t xml:space="preserve">31% ex-FX</w:t>
      </w:r>
      <w:r>
        <w:t xml:space="preserve"> </w:t>
      </w:r>
      <w:r>
        <w:t xml:space="preserve">and EBITDA reaching</w:t>
      </w:r>
      <w:r>
        <w:t xml:space="preserve"> </w:t>
      </w:r>
      <w:r>
        <w:rPr>
          <w:b/>
          <w:bCs/>
        </w:rPr>
        <w:t xml:space="preserve">$775 million</w:t>
      </w:r>
      <w:r>
        <w:t xml:space="preserve">. The improvement was led by television licensing—particularly intercompany licensing tied to the HBO Max international rollout—and theatrical licensing. Games remained soft, with revenue down</w:t>
      </w:r>
      <w:r>
        <w:t xml:space="preserve"> </w:t>
      </w:r>
      <w:r>
        <w:rPr>
          <w:b/>
          <w:bCs/>
        </w:rPr>
        <w:t xml:space="preserve">30% ex-FX</w:t>
      </w:r>
      <w:r>
        <w:t xml:space="preserve"> </w:t>
      </w:r>
      <w:r>
        <w:t xml:space="preserve">on lower library sales.</w:t>
      </w:r>
    </w:p>
    <w:p>
      <w:pPr>
        <w:pStyle w:val="BodyText"/>
      </w:pPr>
      <w:r>
        <w:t xml:space="preserve">For Q2, the earnings question is not whether Warner Bros. has improved creatively; it is whether the segment can translate its content slate into profitability that approaches last year’s</w:t>
      </w:r>
      <w:r>
        <w:t xml:space="preserve"> </w:t>
      </w:r>
      <w:r>
        <w:rPr>
          <w:b/>
          <w:bCs/>
        </w:rPr>
        <w:t xml:space="preserve">$863 million</w:t>
      </w:r>
      <w:r>
        <w:t xml:space="preserve"> </w:t>
      </w:r>
      <w:r>
        <w:t xml:space="preserve">EBITDA result.</w:t>
      </w:r>
    </w:p>
    <w:bookmarkStart w:id="15" w:name="what-investors-should-watch-1"/>
    <w:p>
      <w:pPr>
        <w:pStyle w:val="Heading3"/>
      </w:pPr>
      <w:r>
        <w:t xml:space="preserve">What investors should watch</w:t>
      </w:r>
    </w:p>
    <w:p>
      <w:pPr>
        <w:pStyle w:val="Compact"/>
        <w:numPr>
          <w:ilvl w:val="0"/>
          <w:numId w:val="1003"/>
        </w:numPr>
      </w:pPr>
      <w:r>
        <w:rPr>
          <w:b/>
          <w:bCs/>
        </w:rPr>
        <w:t xml:space="preserve">Theatrical revenue and marketing efficiency.</w:t>
      </w:r>
      <w:r>
        <w:t xml:space="preserve"> </w:t>
      </w:r>
      <w:r>
        <w:t xml:space="preserve">Q2 2025 benefited from</w:t>
      </w:r>
      <w:r>
        <w:t xml:space="preserve"> </w:t>
      </w:r>
      <w:r>
        <w:rPr>
          <w:i/>
          <w:iCs/>
        </w:rPr>
        <w:t xml:space="preserve">A Minecraft Movie</w:t>
      </w:r>
      <w:r>
        <w:t xml:space="preserve">,</w:t>
      </w:r>
      <w:r>
        <w:t xml:space="preserve"> </w:t>
      </w:r>
      <w:r>
        <w:rPr>
          <w:i/>
          <w:iCs/>
        </w:rPr>
        <w:t xml:space="preserve">Sinners</w:t>
      </w:r>
      <w:r>
        <w:t xml:space="preserve">, and</w:t>
      </w:r>
      <w:r>
        <w:t xml:space="preserve"> </w:t>
      </w:r>
      <w:r>
        <w:rPr>
          <w:i/>
          <w:iCs/>
        </w:rPr>
        <w:t xml:space="preserve">Final Destination: Bloodlines</w:t>
      </w:r>
      <w:r>
        <w:t xml:space="preserve">. Investors should assess whether current-quarter film economics can support the high year-ago benchmark.</w:t>
      </w:r>
    </w:p>
    <w:p>
      <w:pPr>
        <w:pStyle w:val="Compact"/>
        <w:numPr>
          <w:ilvl w:val="0"/>
          <w:numId w:val="1003"/>
        </w:numPr>
      </w:pPr>
      <w:r>
        <w:rPr>
          <w:b/>
          <w:bCs/>
        </w:rPr>
        <w:t xml:space="preserve">Television licensing cadence.</w:t>
      </w:r>
      <w:r>
        <w:t xml:space="preserve"> </w:t>
      </w:r>
      <w:r>
        <w:t xml:space="preserve">Q1’s Studio result included significant intercompany licensing. Because WBD uses a fair-market-value internal licensing model, this can lift segment EBITDA while being eliminated at consolidation. Investors should focus on consolidated cash generation and profit, not only the segment result.</w:t>
      </w:r>
    </w:p>
    <w:p>
      <w:pPr>
        <w:pStyle w:val="Compact"/>
        <w:numPr>
          <w:ilvl w:val="0"/>
          <w:numId w:val="1003"/>
        </w:numPr>
      </w:pPr>
      <w:r>
        <w:rPr>
          <w:b/>
          <w:bCs/>
        </w:rPr>
        <w:t xml:space="preserve">External licensing and library monetization.</w:t>
      </w:r>
      <w:r>
        <w:t xml:space="preserve"> </w:t>
      </w:r>
      <w:r>
        <w:t xml:space="preserve">External content sales demonstrate the value of the library beyond HBO Max and can help offset variability in theatrical performance.</w:t>
      </w:r>
    </w:p>
    <w:p>
      <w:pPr>
        <w:pStyle w:val="Compact"/>
        <w:numPr>
          <w:ilvl w:val="0"/>
          <w:numId w:val="1003"/>
        </w:numPr>
      </w:pPr>
      <w:r>
        <w:rPr>
          <w:b/>
          <w:bCs/>
        </w:rPr>
        <w:t xml:space="preserve">Games.</w:t>
      </w:r>
      <w:r>
        <w:t xml:space="preserve"> </w:t>
      </w:r>
      <w:r>
        <w:t xml:space="preserve">It remains a smaller contributor today but represents a potential earnings lever; continued weakness would be a modest negative, while stabilization would be incremental upside.</w:t>
      </w:r>
    </w:p>
    <w:p>
      <w:pPr>
        <w:pStyle w:val="Compact"/>
        <w:numPr>
          <w:ilvl w:val="0"/>
          <w:numId w:val="1003"/>
        </w:numPr>
      </w:pPr>
      <w:r>
        <w:rPr>
          <w:b/>
          <w:bCs/>
        </w:rPr>
        <w:t xml:space="preserve">Experiences and consumer products.</w:t>
      </w:r>
      <w:r>
        <w:t xml:space="preserve"> </w:t>
      </w:r>
      <w:r>
        <w:t xml:space="preserve">Management has highlighted Harry Potter experiences and related opportunities as under-monetized assets. Updates here would support its longer-term target of at least</w:t>
      </w:r>
      <w:r>
        <w:t xml:space="preserve"> </w:t>
      </w:r>
      <w:r>
        <w:rPr>
          <w:b/>
          <w:bCs/>
        </w:rPr>
        <w:t xml:space="preserve">$3 billion in annual Studios EBITDA</w:t>
      </w:r>
      <w:r>
        <w:t xml:space="preserve">.</w:t>
      </w:r>
    </w:p>
    <w:bookmarkEnd w:id="15"/>
    <w:bookmarkStart w:id="16" w:name="read-through"/>
    <w:p>
      <w:pPr>
        <w:pStyle w:val="Heading3"/>
      </w:pPr>
      <w:r>
        <w:t xml:space="preserve">Read-through</w:t>
      </w:r>
    </w:p>
    <w:p>
      <w:pPr>
        <w:pStyle w:val="FirstParagraph"/>
      </w:pPr>
      <w:r>
        <w:t xml:space="preserve">A solid Studios quarter would reinforce that WBD owns an unusually valuable collection of IP and creative franchises. But the segment is inherently volatile by release calendar, licensing renewals, and content-expense timing. Investors should avoid overreacting to one quarter’s reported segment margin.</w:t>
      </w:r>
    </w:p>
    <w:p>
      <w:r>
        <w:pict>
          <v:rect style="width:0;height:1.5pt" o:hralign="center" o:hrstd="t" o:hr="t"/>
        </w:pict>
      </w:r>
    </w:p>
    <w:bookmarkEnd w:id="16"/>
    <w:bookmarkEnd w:id="17"/>
    <w:bookmarkStart w:id="19" w:name="X5ceb6b4a02489c6e7e87c805b7682692d242b70"/>
    <w:p>
      <w:pPr>
        <w:pStyle w:val="Heading2"/>
      </w:pPr>
      <w:r>
        <w:t xml:space="preserve">3. Global Linear Networks: stabilization matters more than growth</w:t>
      </w:r>
    </w:p>
    <w:p>
      <w:pPr>
        <w:pStyle w:val="FirstParagraph"/>
      </w:pPr>
      <w:r>
        <w:t xml:space="preserve">Linear remains the company’s largest EBITDA contributor, but it is also the central structural challenge. In Q1, Global Linear Networks revenue declined</w:t>
      </w:r>
      <w:r>
        <w:t xml:space="preserve"> </w:t>
      </w:r>
      <w:r>
        <w:rPr>
          <w:b/>
          <w:bCs/>
        </w:rPr>
        <w:t xml:space="preserve">9% ex-FX</w:t>
      </w:r>
      <w:r>
        <w:t xml:space="preserve"> </w:t>
      </w:r>
      <w:r>
        <w:t xml:space="preserve">and EBITDA declined</w:t>
      </w:r>
      <w:r>
        <w:t xml:space="preserve"> </w:t>
      </w:r>
      <w:r>
        <w:rPr>
          <w:b/>
          <w:bCs/>
        </w:rPr>
        <w:t xml:space="preserve">10% ex-FX</w:t>
      </w:r>
      <w:r>
        <w:t xml:space="preserve">. Domestic linear pay-TV subscribers fell</w:t>
      </w:r>
      <w:r>
        <w:t xml:space="preserve"> </w:t>
      </w:r>
      <w:r>
        <w:rPr>
          <w:b/>
          <w:bCs/>
        </w:rPr>
        <w:t xml:space="preserve">10%</w:t>
      </w:r>
      <w:r>
        <w:t xml:space="preserve">, while domestic ad audiences declined</w:t>
      </w:r>
      <w:r>
        <w:t xml:space="preserve"> </w:t>
      </w:r>
      <w:r>
        <w:rPr>
          <w:b/>
          <w:bCs/>
        </w:rPr>
        <w:t xml:space="preserve">8%</w:t>
      </w:r>
      <w:r>
        <w:t xml:space="preserve">. The absence of NBA rights created an additional adverse revenue comparison, although it also reduced programming costs.</w:t>
      </w:r>
    </w:p>
    <w:p>
      <w:pPr>
        <w:pStyle w:val="BodyText"/>
      </w:pPr>
      <w:r>
        <w:t xml:space="preserve">The Q2 2025 comparison is also difficult: Global Linear EBITDA was</w:t>
      </w:r>
      <w:r>
        <w:t xml:space="preserve"> </w:t>
      </w:r>
      <w:r>
        <w:rPr>
          <w:b/>
          <w:bCs/>
        </w:rPr>
        <w:t xml:space="preserve">$1.51 billion</w:t>
      </w:r>
      <w:r>
        <w:t xml:space="preserve">, despite a</w:t>
      </w:r>
      <w:r>
        <w:t xml:space="preserve"> </w:t>
      </w:r>
      <w:r>
        <w:rPr>
          <w:b/>
          <w:bCs/>
        </w:rPr>
        <w:t xml:space="preserve">25% ex-FX</w:t>
      </w:r>
      <w:r>
        <w:t xml:space="preserve"> </w:t>
      </w:r>
      <w:r>
        <w:t xml:space="preserve">year-over-year decline.</w:t>
      </w:r>
    </w:p>
    <w:bookmarkStart w:id="18" w:name="what-investors-should-watch-2"/>
    <w:p>
      <w:pPr>
        <w:pStyle w:val="Heading3"/>
      </w:pPr>
      <w:r>
        <w:t xml:space="preserve">What investors should watch</w:t>
      </w:r>
    </w:p>
    <w:p>
      <w:pPr>
        <w:pStyle w:val="Compact"/>
        <w:numPr>
          <w:ilvl w:val="0"/>
          <w:numId w:val="1004"/>
        </w:numPr>
      </w:pPr>
      <w:r>
        <w:rPr>
          <w:b/>
          <w:bCs/>
        </w:rPr>
        <w:t xml:space="preserve">Affiliate-fee growth versus subscriber attrition.</w:t>
      </w:r>
      <w:r>
        <w:t xml:space="preserve"> </w:t>
      </w:r>
      <w:r>
        <w:t xml:space="preserve">In Q1, a 2% domestic affiliate-rate increase only partly offset subscriber losses.</w:t>
      </w:r>
    </w:p>
    <w:p>
      <w:pPr>
        <w:pStyle w:val="Compact"/>
        <w:numPr>
          <w:ilvl w:val="0"/>
          <w:numId w:val="1004"/>
        </w:numPr>
      </w:pPr>
      <w:r>
        <w:rPr>
          <w:b/>
          <w:bCs/>
        </w:rPr>
        <w:t xml:space="preserve">Advertising trends excluding sports timing.</w:t>
      </w:r>
      <w:r>
        <w:t xml:space="preserve"> </w:t>
      </w:r>
      <w:r>
        <w:t xml:space="preserve">Investors need a clean explanation of sports-rights effects, audience trends, and underlying ad-market conditions.</w:t>
      </w:r>
    </w:p>
    <w:p>
      <w:pPr>
        <w:pStyle w:val="Compact"/>
        <w:numPr>
          <w:ilvl w:val="0"/>
          <w:numId w:val="1004"/>
        </w:numPr>
      </w:pPr>
      <w:r>
        <w:rPr>
          <w:b/>
          <w:bCs/>
        </w:rPr>
        <w:t xml:space="preserve">Cost discipline.</w:t>
      </w:r>
      <w:r>
        <w:t xml:space="preserve"> </w:t>
      </w:r>
      <w:r>
        <w:t xml:space="preserve">The most constructive scenario is EBITDA declining more slowly than revenue, demonstrating continued ability to protect cash flow.</w:t>
      </w:r>
    </w:p>
    <w:p>
      <w:pPr>
        <w:pStyle w:val="Compact"/>
        <w:numPr>
          <w:ilvl w:val="0"/>
          <w:numId w:val="1004"/>
        </w:numPr>
      </w:pPr>
      <w:r>
        <w:rPr>
          <w:b/>
          <w:bCs/>
        </w:rPr>
        <w:t xml:space="preserve">International linear and content monetization.</w:t>
      </w:r>
      <w:r>
        <w:t xml:space="preserve"> </w:t>
      </w:r>
      <w:r>
        <w:t xml:space="preserve">WBD’s management argues that its “linear” content increasingly earns revenue through streaming and international distribution; evidence of this would improve confidence in the long-tail value of the segment.</w:t>
      </w:r>
    </w:p>
    <w:p>
      <w:pPr>
        <w:pStyle w:val="FirstParagraph"/>
      </w:pPr>
      <w:r>
        <w:t xml:space="preserve">The realistic goal is not a return to growth. It is confirmation that the segment can remain a substantial cash generator while the company converts its brands, content, and sports rights into broader digital and international monetization.</w:t>
      </w:r>
    </w:p>
    <w:p>
      <w:r>
        <w:pict>
          <v:rect style="width:0;height:1.5pt" o:hralign="center" o:hrstd="t" o:hr="t"/>
        </w:pict>
      </w:r>
    </w:p>
    <w:bookmarkEnd w:id="18"/>
    <w:bookmarkEnd w:id="19"/>
    <w:bookmarkStart w:id="21" w:name="X3a3444d50c4dab7ada4e6f651001183c6da338c"/>
    <w:p>
      <w:pPr>
        <w:pStyle w:val="Heading2"/>
      </w:pPr>
      <w:r>
        <w:t xml:space="preserve">4. Cash flow and leverage: Q2 should be a critical proof point</w:t>
      </w:r>
    </w:p>
    <w:p>
      <w:pPr>
        <w:pStyle w:val="FirstParagraph"/>
      </w:pPr>
      <w:r>
        <w:t xml:space="preserve">Q1 free cash flow was</w:t>
      </w:r>
      <w:r>
        <w:t xml:space="preserve"> </w:t>
      </w:r>
      <w:r>
        <w:rPr>
          <w:b/>
          <w:bCs/>
        </w:rPr>
        <w:t xml:space="preserve">negative $476 million</w:t>
      </w:r>
      <w:r>
        <w:t xml:space="preserve">, versus positive</w:t>
      </w:r>
      <w:r>
        <w:t xml:space="preserve"> </w:t>
      </w:r>
      <m:oMath>
        <m:r>
          <m:t>302</m:t>
        </m:r>
        <m:r>
          <m:t>m</m:t>
        </m:r>
        <m:r>
          <m:t>i</m:t>
        </m:r>
        <m:r>
          <m:t>l</m:t>
        </m:r>
        <m:r>
          <m:t>l</m:t>
        </m:r>
        <m:r>
          <m:t>i</m:t>
        </m:r>
        <m:r>
          <m:t>o</m:t>
        </m:r>
        <m:r>
          <m:t>n</m:t>
        </m:r>
        <m:r>
          <m:t>a</m:t>
        </m:r>
        <m:r>
          <m:t>y</m:t>
        </m:r>
        <m:r>
          <m:t>e</m:t>
        </m:r>
        <m:r>
          <m:t>a</m:t>
        </m:r>
        <m:r>
          <m:t>r</m:t>
        </m:r>
        <m:r>
          <m:t>e</m:t>
        </m:r>
        <m:r>
          <m:t>a</m:t>
        </m:r>
        <m:r>
          <m:t>r</m:t>
        </m:r>
        <m:r>
          <m:t>l</m:t>
        </m:r>
        <m:r>
          <m:t>i</m:t>
        </m:r>
        <m:r>
          <m:t>e</m:t>
        </m:r>
        <m:r>
          <m:t>r</m:t>
        </m:r>
        <m:r>
          <m:rPr>
            <m:sty m:val="p"/>
          </m:rPr>
          <m:t>.</m:t>
        </m:r>
        <m:r>
          <m:t>T</m:t>
        </m:r>
        <m:r>
          <m:t>h</m:t>
        </m:r>
        <m:r>
          <m:t>e</m:t>
        </m:r>
        <m:r>
          <m:t>c</m:t>
        </m:r>
        <m:r>
          <m:t>o</m:t>
        </m:r>
        <m:r>
          <m:t>m</m:t>
        </m:r>
        <m:r>
          <m:t>p</m:t>
        </m:r>
        <m:r>
          <m:t>a</m:t>
        </m:r>
        <m:r>
          <m:t>n</m:t>
        </m:r>
        <m:r>
          <m:t>y</m:t>
        </m:r>
        <m:r>
          <m:t>a</m:t>
        </m:r>
        <m:r>
          <m:t>t</m:t>
        </m:r>
        <m:r>
          <m:t>t</m:t>
        </m:r>
        <m:r>
          <m:t>r</m:t>
        </m:r>
        <m:r>
          <m:t>i</m:t>
        </m:r>
        <m:r>
          <m:t>b</m:t>
        </m:r>
        <m:r>
          <m:t>u</m:t>
        </m:r>
        <m:r>
          <m:t>t</m:t>
        </m:r>
        <m:r>
          <m:t>e</m:t>
        </m:r>
        <m:r>
          <m:t>d</m:t>
        </m:r>
        <m:r>
          <m:t>t</m:t>
        </m:r>
        <m:r>
          <m:t>h</m:t>
        </m:r>
        <m:r>
          <m:t>e</m:t>
        </m:r>
        <m:r>
          <m:t>d</m:t>
        </m:r>
        <m:r>
          <m:t>e</m:t>
        </m:r>
        <m:r>
          <m:t>c</m:t>
        </m:r>
        <m:r>
          <m:t>l</m:t>
        </m:r>
        <m:r>
          <m:t>i</m:t>
        </m:r>
        <m:r>
          <m:t>n</m:t>
        </m:r>
        <m:r>
          <m:t>e</m:t>
        </m:r>
        <m:r>
          <m:t>t</m:t>
        </m:r>
        <m:r>
          <m:t>o</m:t>
        </m:r>
        <m:r>
          <m:t>h</m:t>
        </m:r>
        <m:r>
          <m:t>i</m:t>
        </m:r>
        <m:r>
          <m:t>g</m:t>
        </m:r>
        <m:r>
          <m:t>h</m:t>
        </m:r>
        <m:r>
          <m:t>e</m:t>
        </m:r>
        <m:r>
          <m:t>r</m:t>
        </m:r>
        <m:r>
          <m:t>n</m:t>
        </m:r>
        <m:r>
          <m:t>e</m:t>
        </m:r>
        <m:r>
          <m:t>t</m:t>
        </m:r>
        <m:r>
          <m:t>c</m:t>
        </m:r>
        <m:r>
          <m:t>o</m:t>
        </m:r>
        <m:r>
          <m:t>n</m:t>
        </m:r>
        <m:r>
          <m:t>t</m:t>
        </m:r>
        <m:r>
          <m:t>e</m:t>
        </m:r>
        <m:r>
          <m:t>n</m:t>
        </m:r>
        <m:r>
          <m:t>t</m:t>
        </m:r>
        <m:r>
          <m:t>i</m:t>
        </m:r>
        <m:r>
          <m:t>n</m:t>
        </m:r>
        <m:r>
          <m:t>v</m:t>
        </m:r>
        <m:r>
          <m:t>e</m:t>
        </m:r>
        <m:r>
          <m:t>s</m:t>
        </m:r>
        <m:r>
          <m:t>t</m:t>
        </m:r>
        <m:r>
          <m:t>m</m:t>
        </m:r>
        <m:r>
          <m:t>e</m:t>
        </m:r>
        <m:r>
          <m:t>n</m:t>
        </m:r>
        <m:r>
          <m:t>t</m:t>
        </m:r>
        <m:r>
          <m:rPr>
            <m:sty m:val="p"/>
          </m:rPr>
          <m:t>,</m:t>
        </m:r>
        <m:r>
          <m:t>t</m:t>
        </m:r>
        <m:r>
          <m:t>a</m:t>
        </m:r>
        <m:r>
          <m:t>x</m:t>
        </m:r>
        <m:r>
          <m:t>e</m:t>
        </m:r>
        <m:r>
          <m:t>s</m:t>
        </m:r>
        <m:r>
          <m:rPr>
            <m:sty m:val="p"/>
          </m:rPr>
          <m:t>,</m:t>
        </m:r>
        <m:r>
          <m:t>a</m:t>
        </m:r>
        <m:r>
          <m:t>n</m:t>
        </m:r>
        <m:r>
          <m:t>d</m:t>
        </m:r>
        <m:r>
          <m:t>w</m:t>
        </m:r>
        <m:r>
          <m:t>o</m:t>
        </m:r>
        <m:r>
          <m:t>r</m:t>
        </m:r>
        <m:r>
          <m:t>k</m:t>
        </m:r>
        <m:r>
          <m:t>i</m:t>
        </m:r>
        <m:r>
          <m:t>n</m:t>
        </m:r>
        <m:r>
          <m:t>g</m:t>
        </m:r>
        <m:r>
          <m:rPr>
            <m:sty m:val="p"/>
          </m:rPr>
          <m:t>−</m:t>
        </m:r>
        <m:r>
          <m:t>c</m:t>
        </m:r>
        <m:r>
          <m:t>a</m:t>
        </m:r>
        <m:r>
          <m:t>p</m:t>
        </m:r>
        <m:r>
          <m:t>i</m:t>
        </m:r>
        <m:r>
          <m:t>t</m:t>
        </m:r>
        <m:r>
          <m:t>a</m:t>
        </m:r>
        <m:r>
          <m:t>l</m:t>
        </m:r>
        <m:r>
          <m:t>t</m:t>
        </m:r>
        <m:r>
          <m:t>i</m:t>
        </m:r>
        <m:r>
          <m:t>m</m:t>
        </m:r>
        <m:r>
          <m:t>i</m:t>
        </m:r>
        <m:r>
          <m:t>n</m:t>
        </m:r>
        <m:r>
          <m:t>g</m:t>
        </m:r>
        <m:r>
          <m:rPr>
            <m:sty m:val="p"/>
          </m:rPr>
          <m:t>;</m:t>
        </m:r>
        <m:r>
          <m:t>r</m:t>
        </m:r>
        <m:r>
          <m:t>o</m:t>
        </m:r>
        <m:r>
          <m:t>u</m:t>
        </m:r>
        <m:r>
          <m:t>g</m:t>
        </m:r>
        <m:r>
          <m:t>h</m:t>
        </m:r>
        <m:r>
          <m:t>l</m:t>
        </m:r>
        <m:r>
          <m:t>y</m:t>
        </m:r>
        <m:r>
          <m:rPr>
            <m:sty m:val="p"/>
          </m:rPr>
          <m:t>*</m:t>
        </m:r>
        <m:r>
          <m:rPr>
            <m:sty m:val="p"/>
          </m:rPr>
          <m:t>*</m:t>
        </m:r>
      </m:oMath>
      <w:r>
        <w:t xml:space="preserve">100 million** of the shortfall was transaction- and separation-related.</w:t>
      </w:r>
    </w:p>
    <w:p>
      <w:pPr>
        <w:pStyle w:val="BodyText"/>
      </w:pPr>
      <w:r>
        <w:t xml:space="preserve">That result was not necessarily alarming in isolation—WBD’s cash conversion is seasonal and content spending is lumpy—but it raises the importance of a Q2 rebound. In Q2 2025, WBD generated</w:t>
      </w:r>
      <w:r>
        <w:t xml:space="preserve"> </w:t>
      </w:r>
      <m:oMath>
        <m:r>
          <m:t>702</m:t>
        </m:r>
        <m:r>
          <m:t>m</m:t>
        </m:r>
        <m:r>
          <m:t>i</m:t>
        </m:r>
        <m:r>
          <m:t>l</m:t>
        </m:r>
        <m:r>
          <m:t>l</m:t>
        </m:r>
        <m:r>
          <m:t>i</m:t>
        </m:r>
        <m:r>
          <m:t>o</m:t>
        </m:r>
        <m:r>
          <m:t>n</m:t>
        </m:r>
        <m:r>
          <m:t>o</m:t>
        </m:r>
        <m:r>
          <m:t>f</m:t>
        </m:r>
        <m:r>
          <m:t>f</m:t>
        </m:r>
        <m:r>
          <m:t>r</m:t>
        </m:r>
        <m:r>
          <m:t>e</m:t>
        </m:r>
        <m:r>
          <m:t>e</m:t>
        </m:r>
        <m:r>
          <m:t>c</m:t>
        </m:r>
        <m:r>
          <m:t>a</m:t>
        </m:r>
        <m:r>
          <m:t>s</m:t>
        </m:r>
        <m:r>
          <m:t>h</m:t>
        </m:r>
        <m:r>
          <m:t>f</m:t>
        </m:r>
        <m:r>
          <m:t>l</m:t>
        </m:r>
        <m:r>
          <m:t>o</m:t>
        </m:r>
        <m:r>
          <m:t>w</m:t>
        </m:r>
        <m:r>
          <m:rPr>
            <m:sty m:val="p"/>
          </m:rPr>
          <m:t>*</m:t>
        </m:r>
        <m:r>
          <m:rPr>
            <m:sty m:val="p"/>
          </m:rPr>
          <m:t>*</m:t>
        </m:r>
        <m:r>
          <m:rPr>
            <m:sty m:val="p"/>
          </m:rPr>
          <m:t>,</m:t>
        </m:r>
        <m:r>
          <m:t>e</m:t>
        </m:r>
        <m:r>
          <m:t>v</m:t>
        </m:r>
        <m:r>
          <m:t>e</m:t>
        </m:r>
        <m:r>
          <m:t>n</m:t>
        </m:r>
        <m:r>
          <m:t>a</m:t>
        </m:r>
        <m:r>
          <m:t>f</m:t>
        </m:r>
        <m:r>
          <m:t>t</m:t>
        </m:r>
        <m:r>
          <m:t>e</m:t>
        </m:r>
        <m:r>
          <m:t>r</m:t>
        </m:r>
        <m:r>
          <m:t>a</m:t>
        </m:r>
        <m:r>
          <m:t>p</m:t>
        </m:r>
        <m:r>
          <m:t>p</m:t>
        </m:r>
        <m:r>
          <m:t>r</m:t>
        </m:r>
        <m:r>
          <m:t>o</m:t>
        </m:r>
        <m:r>
          <m:t>x</m:t>
        </m:r>
        <m:r>
          <m:t>i</m:t>
        </m:r>
        <m:r>
          <m:t>m</m:t>
        </m:r>
        <m:r>
          <m:t>a</m:t>
        </m:r>
        <m:r>
          <m:t>t</m:t>
        </m:r>
        <m:r>
          <m:t>e</m:t>
        </m:r>
        <m:r>
          <m:t>l</m:t>
        </m:r>
        <m:r>
          <m:t>y</m:t>
        </m:r>
        <m:r>
          <m:rPr>
            <m:sty m:val="p"/>
          </m:rPr>
          <m:t>*</m:t>
        </m:r>
        <m:r>
          <m:rPr>
            <m:sty m:val="p"/>
          </m:rPr>
          <m:t>*</m:t>
        </m:r>
      </m:oMath>
      <w:r>
        <w:rPr>
          <w:b/>
          <w:bCs/>
        </w:rPr>
        <w:t xml:space="preserve">250 million</w:t>
      </w:r>
      <w:r>
        <w:t xml:space="preserve"> </w:t>
      </w:r>
      <w:r>
        <w:t xml:space="preserve">of separation-related costs.</w:t>
      </w:r>
    </w:p>
    <w:p>
      <w:pPr>
        <w:pStyle w:val="BodyText"/>
      </w:pPr>
      <w:r>
        <w:t xml:space="preserve">At March 31, WBD reported:</w:t>
      </w:r>
    </w:p>
    <w:p>
      <w:pPr>
        <w:pStyle w:val="Compact"/>
        <w:numPr>
          <w:ilvl w:val="0"/>
          <w:numId w:val="1005"/>
        </w:numPr>
      </w:pPr>
      <w:r>
        <w:rPr>
          <w:b/>
          <w:bCs/>
        </w:rPr>
        <w:t xml:space="preserve">$33.4 billion</w:t>
      </w:r>
      <w:r>
        <w:t xml:space="preserve"> </w:t>
      </w:r>
      <w:r>
        <w:t xml:space="preserve">of gross debt</w:t>
      </w:r>
    </w:p>
    <w:p>
      <w:pPr>
        <w:pStyle w:val="Compact"/>
        <w:numPr>
          <w:ilvl w:val="0"/>
          <w:numId w:val="1005"/>
        </w:numPr>
      </w:pPr>
      <w:r>
        <w:rPr>
          <w:b/>
          <w:bCs/>
        </w:rPr>
        <w:t xml:space="preserve">$30.1 billion</w:t>
      </w:r>
      <w:r>
        <w:t xml:space="preserve"> </w:t>
      </w:r>
      <w:r>
        <w:t xml:space="preserve">of net debt</w:t>
      </w:r>
    </w:p>
    <w:p>
      <w:pPr>
        <w:pStyle w:val="Compact"/>
        <w:numPr>
          <w:ilvl w:val="0"/>
          <w:numId w:val="1005"/>
        </w:numPr>
      </w:pPr>
      <w:r>
        <w:rPr>
          <w:b/>
          <w:bCs/>
        </w:rPr>
        <w:t xml:space="preserve">3.4x</w:t>
      </w:r>
      <w:r>
        <w:t xml:space="preserve"> </w:t>
      </w:r>
      <w:r>
        <w:t xml:space="preserve">net leverage</w:t>
      </w:r>
    </w:p>
    <w:p>
      <w:pPr>
        <w:pStyle w:val="Compact"/>
        <w:numPr>
          <w:ilvl w:val="0"/>
          <w:numId w:val="1005"/>
        </w:numPr>
      </w:pPr>
      <w:r>
        <w:rPr>
          <w:b/>
          <w:bCs/>
        </w:rPr>
        <w:t xml:space="preserve">$3.3 billion</w:t>
      </w:r>
      <w:r>
        <w:t xml:space="preserve"> </w:t>
      </w:r>
      <w:r>
        <w:t xml:space="preserve">of cash</w:t>
      </w:r>
    </w:p>
    <w:p>
      <w:pPr>
        <w:pStyle w:val="Compact"/>
        <w:numPr>
          <w:ilvl w:val="0"/>
          <w:numId w:val="1005"/>
        </w:numPr>
      </w:pPr>
      <w:r>
        <w:t xml:space="preserve">An undrawn</w:t>
      </w:r>
      <w:r>
        <w:t xml:space="preserve"> </w:t>
      </w:r>
      <w:r>
        <w:rPr>
          <w:b/>
          <w:bCs/>
        </w:rPr>
        <w:t xml:space="preserve">$4.0 billion</w:t>
      </w:r>
      <w:r>
        <w:t xml:space="preserve"> </w:t>
      </w:r>
      <w:r>
        <w:t xml:space="preserve">revolving credit facility</w:t>
      </w:r>
    </w:p>
    <w:bookmarkStart w:id="20" w:name="what-to-watch"/>
    <w:p>
      <w:pPr>
        <w:pStyle w:val="Heading3"/>
      </w:pPr>
      <w:r>
        <w:t xml:space="preserve">What to watch</w:t>
      </w:r>
    </w:p>
    <w:p>
      <w:pPr>
        <w:pStyle w:val="Compact"/>
        <w:numPr>
          <w:ilvl w:val="0"/>
          <w:numId w:val="1006"/>
        </w:numPr>
      </w:pPr>
      <w:r>
        <w:t xml:space="preserve">Free cash flow relative to the $702 million Q2 2025 comparison.</w:t>
      </w:r>
    </w:p>
    <w:p>
      <w:pPr>
        <w:pStyle w:val="Compact"/>
        <w:numPr>
          <w:ilvl w:val="0"/>
          <w:numId w:val="1006"/>
        </w:numPr>
      </w:pPr>
      <w:r>
        <w:t xml:space="preserve">Whether transaction, litigation, separation, and financing costs are rising meaningfully.</w:t>
      </w:r>
    </w:p>
    <w:p>
      <w:pPr>
        <w:pStyle w:val="Compact"/>
        <w:numPr>
          <w:ilvl w:val="0"/>
          <w:numId w:val="1006"/>
        </w:numPr>
      </w:pPr>
      <w:r>
        <w:t xml:space="preserve">Net debt and leverage direction.</w:t>
      </w:r>
    </w:p>
    <w:p>
      <w:pPr>
        <w:pStyle w:val="Compact"/>
        <w:numPr>
          <w:ilvl w:val="0"/>
          <w:numId w:val="1006"/>
        </w:numPr>
      </w:pPr>
      <w:r>
        <w:t xml:space="preserve">Receivables-facility utilization, which was</w:t>
      </w:r>
      <w:r>
        <w:t xml:space="preserve"> </w:t>
      </w:r>
      <w:r>
        <w:rPr>
          <w:b/>
          <w:bCs/>
        </w:rPr>
        <w:t xml:space="preserve">$3.85 billion</w:t>
      </w:r>
      <w:r>
        <w:t xml:space="preserve"> </w:t>
      </w:r>
      <w:r>
        <w:t xml:space="preserve">at the end of Q1.</w:t>
      </w:r>
    </w:p>
    <w:p>
      <w:pPr>
        <w:pStyle w:val="Compact"/>
        <w:numPr>
          <w:ilvl w:val="0"/>
          <w:numId w:val="1006"/>
        </w:numPr>
      </w:pPr>
      <w:r>
        <w:t xml:space="preserve">Any discussion of content-investment timing for the second half.</w:t>
      </w:r>
    </w:p>
    <w:p>
      <w:pPr>
        <w:pStyle w:val="FirstParagraph"/>
      </w:pPr>
      <w:r>
        <w:t xml:space="preserve">A healthy FCF rebound would matter especially if the merger remains delayed through 2027: it would improve the downside case by demonstrating that WBD can fund operations, invest in content, and manage debt without relying on an imminent transaction close.</w:t>
      </w:r>
    </w:p>
    <w:p>
      <w:r>
        <w:pict>
          <v:rect style="width:0;height:1.5pt" o:hralign="center" o:hrstd="t" o:hr="t"/>
        </w:pict>
      </w:r>
    </w:p>
    <w:bookmarkEnd w:id="20"/>
    <w:bookmarkEnd w:id="21"/>
    <w:bookmarkStart w:id="22" w:name="X957e66b072e315fd11ee625a366757ae502b4b1"/>
    <w:p>
      <w:pPr>
        <w:pStyle w:val="Heading2"/>
      </w:pPr>
      <w:r>
        <w:t xml:space="preserve">5. The Paramount Skydance transaction: the stock’s primary risk/reward driver</w:t>
      </w:r>
    </w:p>
    <w:p>
      <w:pPr>
        <w:pStyle w:val="FirstParagraph"/>
      </w:pPr>
      <w:r>
        <w:t xml:space="preserve">The deal overlay is unusually consequential. WBD shareholders approved Paramount Skydance’s</w:t>
      </w:r>
      <w:r>
        <w:t xml:space="preserve"> </w:t>
      </w:r>
      <w:r>
        <w:rPr>
          <w:b/>
          <w:bCs/>
        </w:rPr>
        <w:t xml:space="preserve">$31-per-share cash acquisition</w:t>
      </w:r>
      <w:r>
        <w:t xml:space="preserve"> </w:t>
      </w:r>
      <w:r>
        <w:t xml:space="preserve">in June. Yet the transaction subsequently faced a state-led antitrust challenge and was paused pending litigation. Recent reporting indicates the parties have agreed to delay the closing process until the court rules or</w:t>
      </w:r>
      <w:r>
        <w:t xml:space="preserve"> </w:t>
      </w:r>
      <w:r>
        <w:rPr>
          <w:b/>
          <w:bCs/>
        </w:rPr>
        <w:t xml:space="preserve">June 1, 2027</w:t>
      </w:r>
      <w:r>
        <w:t xml:space="preserve">, whichever comes first; the antitrust trial is scheduled to begin on</w:t>
      </w:r>
      <w:r>
        <w:t xml:space="preserve"> </w:t>
      </w:r>
      <w:r>
        <w:rPr>
          <w:b/>
          <w:bCs/>
        </w:rPr>
        <w:t xml:space="preserve">March 2, 2027</w:t>
      </w:r>
      <w:r>
        <w:t xml:space="preserve">.</w:t>
      </w:r>
    </w:p>
    <w:p>
      <w:pPr>
        <w:pStyle w:val="BodyText"/>
      </w:pPr>
      <w:r>
        <w:t xml:space="preserve">This has two implications for the earnings call:</w:t>
      </w:r>
    </w:p>
    <w:p>
      <w:pPr>
        <w:pStyle w:val="Compact"/>
        <w:numPr>
          <w:ilvl w:val="0"/>
          <w:numId w:val="1007"/>
        </w:numPr>
      </w:pPr>
      <w:r>
        <w:rPr>
          <w:b/>
          <w:bCs/>
        </w:rPr>
        <w:t xml:space="preserve">Operational execution is again relevant.</w:t>
      </w:r>
      <w:r>
        <w:t xml:space="preserve"> </w:t>
      </w:r>
      <w:r>
        <w:t xml:space="preserve">With the deal no longer appearing near-term, WBD cannot be valued solely as a merger-arbitrage security.</w:t>
      </w:r>
    </w:p>
    <w:p>
      <w:pPr>
        <w:pStyle w:val="Compact"/>
        <w:numPr>
          <w:ilvl w:val="0"/>
          <w:numId w:val="1007"/>
        </w:numPr>
      </w:pPr>
      <w:r>
        <w:rPr>
          <w:b/>
          <w:bCs/>
        </w:rPr>
        <w:t xml:space="preserve">Management commentary may be constrained.</w:t>
      </w:r>
      <w:r>
        <w:t xml:space="preserve"> </w:t>
      </w:r>
      <w:r>
        <w:t xml:space="preserve">On the Q1 call, WBD declined to take questions regarding the proposed transaction. Investors should not assume detailed legal or timing updates.</w:t>
      </w:r>
    </w:p>
    <w:p>
      <w:pPr>
        <w:pStyle w:val="FirstParagraph"/>
      </w:pPr>
      <w:r>
        <w:t xml:space="preserve">The reported deal spread implies the market assigns meaningful probability to a delayed or failed transaction. Conversely, WBD’s standalone operations—and reportedly a significant regulatory-objection termination payment if the deal ultimately fails—provide part of the downside protection. The precise legal outcome, timing, and availability of any termination payment remain highly uncertain.</w:t>
      </w:r>
    </w:p>
    <w:p>
      <w:r>
        <w:pict>
          <v:rect style="width:0;height:1.5pt" o:hralign="center" o:hrstd="t" o:hr="t"/>
        </w:pict>
      </w:r>
    </w:p>
    <w:bookmarkEnd w:id="22"/>
    <w:bookmarkStart w:id="25" w:name="potential-catalysts"/>
    <w:p>
      <w:pPr>
        <w:pStyle w:val="Heading2"/>
      </w:pPr>
      <w:r>
        <w:t xml:space="preserve">Potential catalysts</w:t>
      </w:r>
    </w:p>
    <w:bookmarkStart w:id="23" w:name="bullish-outcomes"/>
    <w:p>
      <w:pPr>
        <w:pStyle w:val="Heading3"/>
      </w:pPr>
      <w:r>
        <w:t xml:space="preserve">Bullish outcomes</w:t>
      </w:r>
    </w:p>
    <w:p>
      <w:pPr>
        <w:pStyle w:val="Compact"/>
        <w:numPr>
          <w:ilvl w:val="0"/>
          <w:numId w:val="1008"/>
        </w:numPr>
      </w:pPr>
      <w:r>
        <w:t xml:space="preserve">Subscriber and subscriber-related revenue growth accelerates as management indicated in Q1.</w:t>
      </w:r>
    </w:p>
    <w:p>
      <w:pPr>
        <w:pStyle w:val="Compact"/>
        <w:numPr>
          <w:ilvl w:val="0"/>
          <w:numId w:val="1008"/>
        </w:numPr>
      </w:pPr>
      <w:r>
        <w:t xml:space="preserve">Streaming EBITDA expands despite continued international investment.</w:t>
      </w:r>
    </w:p>
    <w:p>
      <w:pPr>
        <w:pStyle w:val="Compact"/>
        <w:numPr>
          <w:ilvl w:val="0"/>
          <w:numId w:val="1008"/>
        </w:numPr>
      </w:pPr>
      <w:r>
        <w:t xml:space="preserve">Studios remains strong enough to offset a high year-ago comparison.</w:t>
      </w:r>
    </w:p>
    <w:p>
      <w:pPr>
        <w:pStyle w:val="Compact"/>
        <w:numPr>
          <w:ilvl w:val="0"/>
          <w:numId w:val="1008"/>
        </w:numPr>
      </w:pPr>
      <w:r>
        <w:t xml:space="preserve">Linear EBITDA declines more slowly than revenue.</w:t>
      </w:r>
    </w:p>
    <w:p>
      <w:pPr>
        <w:pStyle w:val="Compact"/>
        <w:numPr>
          <w:ilvl w:val="0"/>
          <w:numId w:val="1008"/>
        </w:numPr>
      </w:pPr>
      <w:r>
        <w:t xml:space="preserve">Free cash flow returns decisively positive and leverage improves.</w:t>
      </w:r>
    </w:p>
    <w:p>
      <w:pPr>
        <w:pStyle w:val="Compact"/>
        <w:numPr>
          <w:ilvl w:val="0"/>
          <w:numId w:val="1008"/>
        </w:numPr>
      </w:pPr>
      <w:r>
        <w:t xml:space="preserve">Management demonstrates that the company can execute normally despite the extended merger process.</w:t>
      </w:r>
    </w:p>
    <w:bookmarkEnd w:id="23"/>
    <w:bookmarkStart w:id="24" w:name="bearish-outcomes"/>
    <w:p>
      <w:pPr>
        <w:pStyle w:val="Heading3"/>
      </w:pPr>
      <w:r>
        <w:t xml:space="preserve">Bearish outcomes</w:t>
      </w:r>
    </w:p>
    <w:p>
      <w:pPr>
        <w:pStyle w:val="Compact"/>
        <w:numPr>
          <w:ilvl w:val="0"/>
          <w:numId w:val="1009"/>
        </w:numPr>
      </w:pPr>
      <w:r>
        <w:t xml:space="preserve">European HBO Max adds are low-quality, with weak ARPU or high churn.</w:t>
      </w:r>
    </w:p>
    <w:p>
      <w:pPr>
        <w:pStyle w:val="Compact"/>
        <w:numPr>
          <w:ilvl w:val="0"/>
          <w:numId w:val="1009"/>
        </w:numPr>
      </w:pPr>
      <w:r>
        <w:t xml:space="preserve">Streaming launch costs remain elevated without corresponding revenue acceleration.</w:t>
      </w:r>
    </w:p>
    <w:p>
      <w:pPr>
        <w:pStyle w:val="Compact"/>
        <w:numPr>
          <w:ilvl w:val="0"/>
          <w:numId w:val="1009"/>
        </w:numPr>
      </w:pPr>
      <w:r>
        <w:t xml:space="preserve">Studios EBITDA falls sharply against the strong Q2 2025 benchmark.</w:t>
      </w:r>
    </w:p>
    <w:p>
      <w:pPr>
        <w:pStyle w:val="Compact"/>
        <w:numPr>
          <w:ilvl w:val="0"/>
          <w:numId w:val="1009"/>
        </w:numPr>
      </w:pPr>
      <w:r>
        <w:t xml:space="preserve">Linear advertising or affiliate trends worsen beyond expected secular declines.</w:t>
      </w:r>
    </w:p>
    <w:p>
      <w:pPr>
        <w:pStyle w:val="Compact"/>
        <w:numPr>
          <w:ilvl w:val="0"/>
          <w:numId w:val="1009"/>
        </w:numPr>
      </w:pPr>
      <w:r>
        <w:t xml:space="preserve">Free cash flow remains weak, raising attention on debt, working capital, and transaction costs.</w:t>
      </w:r>
    </w:p>
    <w:p>
      <w:pPr>
        <w:pStyle w:val="Compact"/>
        <w:numPr>
          <w:ilvl w:val="0"/>
          <w:numId w:val="1009"/>
        </w:numPr>
      </w:pPr>
      <w:r>
        <w:t xml:space="preserve">The company signals heightened operational disruption, employee attrition, or financial costs from the stalled deal.</w:t>
      </w:r>
    </w:p>
    <w:p>
      <w:r>
        <w:pict>
          <v:rect style="width:0;height:1.5pt" o:hralign="center" o:hrstd="t" o:hr="t"/>
        </w:pict>
      </w:r>
    </w:p>
    <w:bookmarkEnd w:id="24"/>
    <w:bookmarkEnd w:id="25"/>
    <w:bookmarkStart w:id="27" w:name="bottom-line"/>
    <w:p>
      <w:pPr>
        <w:pStyle w:val="Heading2"/>
      </w:pPr>
      <w:r>
        <w:t xml:space="preserve">Bottom line</w:t>
      </w:r>
    </w:p>
    <w:p>
      <w:pPr>
        <w:pStyle w:val="FirstParagraph"/>
      </w:pPr>
      <w:r>
        <w:rPr>
          <w:b/>
          <w:bCs/>
        </w:rPr>
        <w:t xml:space="preserve">The operational bar is centered on Streaming monetization and free cash flow, while the valuation debate is centered on the merger.</w:t>
      </w:r>
      <w:r>
        <w:t xml:space="preserve"> </w:t>
      </w:r>
      <w:r>
        <w:t xml:space="preserve">WBD has credible momentum: Streaming is growing profitably, Studios has been revitalized, and debt has come down from prior levels. But those positives are still being weighed against ongoing linear-TV erosion, substantial leverage, and an acquisition process that may not be resolved until 2027.</w:t>
      </w:r>
    </w:p>
    <w:p>
      <w:pPr>
        <w:pStyle w:val="BodyText"/>
      </w:pPr>
      <w:r>
        <w:t xml:space="preserve">For this report, the most constructive result would be:</w:t>
      </w:r>
      <w:r>
        <w:t xml:space="preserve"> </w:t>
      </w:r>
      <w:r>
        <w:rPr>
          <w:b/>
          <w:bCs/>
        </w:rPr>
        <w:t xml:space="preserve">accelerating HBO Max revenue, sustained Streaming EBITDA growth, solid Studios performance despite a difficult comparison, controlled linear declines, and a material Q2 free-cash-flow recovery.</w:t>
      </w:r>
      <w:r>
        <w:t xml:space="preserve"> </w:t>
      </w:r>
      <w:r>
        <w:t xml:space="preserve">That combination would strengthen the standalone case—and reduce the market’s need to rely entirely on the $31 merger consideration.</w:t>
      </w:r>
    </w:p>
    <w:bookmarkStart w:id="26" w:name="sources"/>
    <w:p>
      <w:pPr>
        <w:pStyle w:val="Heading3"/>
      </w:pPr>
      <w:r>
        <w:t xml:space="preserve">Sources</w:t>
      </w:r>
    </w:p>
    <w:p>
      <w:pPr>
        <w:pStyle w:val="Compact"/>
        <w:numPr>
          <w:ilvl w:val="0"/>
          <w:numId w:val="1010"/>
        </w:numPr>
      </w:pPr>
      <w:r>
        <w:t xml:space="preserve">Warner Bros. Discovery Q1 2026 earnings release and earnings-call transcript, May 6, 2026.</w:t>
      </w:r>
    </w:p>
    <w:p>
      <w:pPr>
        <w:pStyle w:val="Compact"/>
        <w:numPr>
          <w:ilvl w:val="0"/>
          <w:numId w:val="1010"/>
        </w:numPr>
      </w:pPr>
      <w:r>
        <w:t xml:space="preserve">Warner Bros. Discovery Q2 2025 earnings release, August 7, 2025.</w:t>
      </w:r>
    </w:p>
    <w:p>
      <w:pPr>
        <w:pStyle w:val="Compact"/>
        <w:numPr>
          <w:ilvl w:val="0"/>
          <w:numId w:val="1010"/>
        </w:numPr>
      </w:pPr>
      <w:r>
        <w:t xml:space="preserve">WBD share-price data through August 5, 2026.</w:t>
      </w:r>
    </w:p>
    <w:p>
      <w:pPr>
        <w:pStyle w:val="Compact"/>
        <w:numPr>
          <w:ilvl w:val="0"/>
          <w:numId w:val="1010"/>
        </w:numPr>
      </w:pPr>
      <w:r>
        <w:t xml:space="preserve">Recent daily news and legal-process reporting regarding the Paramount Skydance transaction and antitrust timetable.</w:t>
      </w:r>
    </w:p>
    <w:bookmarkEnd w:id="26"/>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2026-08-06T00:06:35Z</dcterms:created>
  <dcterms:modified xsi:type="dcterms:W3CDTF">2026-08-06T00:06:35Z</dcterms:modified>
</cp:coreProperties>
</file>

<file path=docProps/custom.xml><?xml version="1.0" encoding="utf-8"?>
<Properties xmlns="http://schemas.openxmlformats.org/officeDocument/2006/custom-properties" xmlns:vt="http://schemas.openxmlformats.org/officeDocument/2006/docPropsVTypes"/>
</file>