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Warner Bros. Discovery (WBD)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Warner Bros. Discovery, Inc.</w:t>
            </w:r>
          </w:p>
        </w:tc>
      </w:tr>
      <w:tr>
        <w:tc>
          <w:tcPr>
            <w:tcW w:type="dxa" w:w="4320"/>
          </w:tcPr>
          <w:p>
            <w:r>
              <w:rPr>
                <w:rFonts w:ascii="Calibri" w:hAnsi="Calibri"/>
                <w:b/>
                <w:sz w:val="22"/>
              </w:rPr>
              <w:t>Ticker</w:t>
            </w:r>
          </w:p>
        </w:tc>
        <w:tc>
          <w:tcPr>
            <w:tcW w:type="dxa" w:w="4320"/>
          </w:tcPr>
          <w:p>
            <w:r>
              <w:rPr>
                <w:rFonts w:ascii="Calibri" w:hAnsi="Calibri"/>
                <w:sz w:val="22"/>
              </w:rPr>
              <w:t>WBD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WBD's Q2 2026 print is largely binary — the stock is effectively a deal-spread trade on the Paramount Skydance acquisition, but the underlying operational story (streaming acceleration, studio EBITDA) could still move the stock if results deviate meaningfully from the low bar consensus has set. The biggest swing factor is whether streaming subscriber-related revenue growth visibly accelerates in Q2 as management guided, validating the $150M+ year-end subscriber target.</w:t>
      </w:r>
    </w:p>
    <w:p>
      <w:r>
        <w:rPr>
          <w:rFonts w:ascii="Calibri" w:hAnsi="Calibri"/>
          <w:color w:val="525866"/>
          <w:sz w:val="22"/>
        </w:rPr>
        <w:t xml:space="preserve">Heading into Q2 2026 results, the bar for WBD is modest: consensus expects total revenue of ~$9.18B (roughly flat year-over-year) and operating EBITDA of ~$1.84B, both representing a low hurdle given the company's track record of beating on segment EBITDA. </w:t>
      </w:r>
      <w:r>
        <w:rPr>
          <w:rFonts w:ascii="Calibri" w:hAnsi="Calibri"/>
          <w:b/>
          <w:color w:val="525866"/>
          <w:sz w:val="22"/>
        </w:rPr>
        <w:t>Management's tone on the Q1 call was unambiguously bullish</w:t>
      </w:r>
      <w:r>
        <w:rPr>
          <w:rFonts w:ascii="Calibri" w:hAnsi="Calibri"/>
          <w:color w:val="525866"/>
          <w:sz w:val="22"/>
        </w:rPr>
        <w:t xml:space="preserve"> — CEO Zaslav described HBO Max as the "leading growth asset" and guided for "healthy acceleration in subscriber-related revenue growth" picking up "real pace in Q2 and through the rest of the year," while CFO Wiedenfels flagged streaming profit growth "starting to accelerate." Estimate revisions since the Q1 print have been modest and slightly negative on EBITDA (consensus EBITDA for Q2 2026 moved from $1.91B to $1.84B post-earnings), suggesting the street is not fully pricing in management's bullish tone — creating potential cushion if streaming and studios deliver. The stock has drifted ~4.5% lower since the Q1 print (vs. S&amp;P 500 +4.9%), largely capped by the $31/share Paramount acquisition price, which creates a hard ceiling on upside and means the stock is trading as a deal arb rather than on fundamentals. </w:t>
      </w:r>
    </w:p>
    <w:p>
      <w:r>
        <w:rPr>
          <w:rFonts w:ascii="Calibri" w:hAnsi="Calibri"/>
          <w:b/>
          <w:color w:val="525866"/>
          <w:sz w:val="22"/>
        </w:rPr>
        <w:t>The key wildcard is the state-level antitrust litigation</w:t>
      </w:r>
      <w:r>
        <w:rPr>
          <w:rFonts w:ascii="Calibri" w:hAnsi="Calibri"/>
          <w:color w:val="525866"/>
          <w:sz w:val="22"/>
        </w:rPr>
        <w:t>: 12 states (led by California and New York AGs) filed suit on July 13 to block the Paramount-WBD merger, and UK regulators are also reviewing the deal — any adverse ruling or delay could compress the deal spread and weigh on the stock regardless of the operational print. On the operational side, the Q2 content slate (House of the Dragon Season 3 in production, Dune: Part Three in the pipeline) and the early ramp of HBO Max in the UK/Germany/Italy/Ireland are the key drivers to watch for streaming revenue acceleration.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both revenue (~$9.18B, roughly flat YoY) and EBITDA (~$1.84B, down ~6% YoY), with streaming EBITDA (~$382M) the bigger swing factor — management guided for accelerating profitability in Q2, and any beat here would be the most meaningful positive signal for the investment thesis.</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$8.893B</w:t>
            </w:r>
          </w:p>
        </w:tc>
        <w:tc>
          <w:tcPr>
            <w:tcW w:type="dxa" w:w="1234"/>
          </w:tcPr>
          <w:p>
            <w:r>
              <w:rPr>
                <w:rFonts w:ascii="Calibri" w:hAnsi="Calibri"/>
                <w:sz w:val="22"/>
              </w:rPr>
              <w:t>$9.812B</w:t>
            </w:r>
          </w:p>
        </w:tc>
        <w:tc>
          <w:tcPr>
            <w:tcW w:type="dxa" w:w="1234"/>
          </w:tcPr>
          <w:p>
            <w:r>
              <w:rPr>
                <w:rFonts w:ascii="Calibri" w:hAnsi="Calibri"/>
                <w:sz w:val="22"/>
              </w:rPr>
              <w:t>$9.180B</w:t>
            </w:r>
          </w:p>
        </w:tc>
        <w:tc>
          <w:tcPr>
            <w:tcW w:type="dxa" w:w="1234"/>
          </w:tcPr>
          <w:p>
            <w:r>
              <w:rPr>
                <w:rFonts w:ascii="Calibri" w:hAnsi="Calibri"/>
                <w:sz w:val="22"/>
              </w:rPr>
              <w:t>-6.4%</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Total Adj. EBITDA ($B)</w:t>
            </w:r>
          </w:p>
        </w:tc>
        <w:tc>
          <w:tcPr>
            <w:tcW w:type="dxa" w:w="1234"/>
          </w:tcPr>
          <w:p>
            <w:r>
              <w:rPr>
                <w:rFonts w:ascii="Calibri" w:hAnsi="Calibri"/>
                <w:sz w:val="22"/>
              </w:rPr>
              <w:t>$2.203B</w:t>
            </w:r>
          </w:p>
        </w:tc>
        <w:tc>
          <w:tcPr>
            <w:tcW w:type="dxa" w:w="1234"/>
          </w:tcPr>
          <w:p>
            <w:r>
              <w:rPr>
                <w:rFonts w:ascii="Calibri" w:hAnsi="Calibri"/>
                <w:sz w:val="22"/>
              </w:rPr>
              <w:t>$1.953B</w:t>
            </w:r>
          </w:p>
        </w:tc>
        <w:tc>
          <w:tcPr>
            <w:tcW w:type="dxa" w:w="1234"/>
          </w:tcPr>
          <w:p>
            <w:r>
              <w:rPr>
                <w:rFonts w:ascii="Calibri" w:hAnsi="Calibri"/>
                <w:sz w:val="22"/>
              </w:rPr>
              <w:t>$1.843B</w:t>
            </w:r>
          </w:p>
        </w:tc>
        <w:tc>
          <w:tcPr>
            <w:tcW w:type="dxa" w:w="1234"/>
          </w:tcPr>
          <w:p>
            <w:r>
              <w:rPr>
                <w:rFonts w:ascii="Calibri" w:hAnsi="Calibri"/>
                <w:sz w:val="22"/>
              </w:rPr>
              <w:t>-5.6%</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Streaming Revenue ($B)</w:t>
            </w:r>
          </w:p>
        </w:tc>
        <w:tc>
          <w:tcPr>
            <w:tcW w:type="dxa" w:w="1234"/>
          </w:tcPr>
          <w:p>
            <w:r>
              <w:rPr>
                <w:rFonts w:ascii="Calibri" w:hAnsi="Calibri"/>
                <w:sz w:val="22"/>
              </w:rPr>
              <w:t>$2.887B</w:t>
            </w:r>
          </w:p>
        </w:tc>
        <w:tc>
          <w:tcPr>
            <w:tcW w:type="dxa" w:w="1234"/>
          </w:tcPr>
          <w:p>
            <w:r>
              <w:rPr>
                <w:rFonts w:ascii="Calibri" w:hAnsi="Calibri"/>
                <w:sz w:val="22"/>
              </w:rPr>
              <w:t>$2.793B</w:t>
            </w:r>
          </w:p>
        </w:tc>
        <w:tc>
          <w:tcPr>
            <w:tcW w:type="dxa" w:w="1234"/>
          </w:tcPr>
          <w:p>
            <w:r>
              <w:rPr>
                <w:rFonts w:ascii="Calibri" w:hAnsi="Calibri"/>
                <w:sz w:val="22"/>
              </w:rPr>
              <w:t>$3.029B</w:t>
            </w:r>
          </w:p>
        </w:tc>
        <w:tc>
          <w:tcPr>
            <w:tcW w:type="dxa" w:w="1234"/>
          </w:tcPr>
          <w:p>
            <w:r>
              <w:rPr>
                <w:rFonts w:ascii="Calibri" w:hAnsi="Calibri"/>
                <w:sz w:val="22"/>
              </w:rPr>
              <w:t>+8.5%</w:t>
            </w:r>
          </w:p>
        </w:tc>
        <w:tc>
          <w:tcPr>
            <w:tcW w:type="dxa" w:w="1234"/>
          </w:tcPr>
          <w:p>
            <w:r>
              <w:rPr>
                <w:rFonts w:ascii="Calibri" w:hAnsi="Calibri"/>
                <w:sz w:val="22"/>
              </w:rPr>
              <w:t>"Healthy acceleration" in sub-related revenue growth in Q2</w:t>
            </w:r>
          </w:p>
        </w:tc>
        <w:tc>
          <w:tcPr>
            <w:tcW w:type="dxa" w:w="1234"/>
          </w:tcPr>
          <w:p>
            <w:r>
              <w:rPr>
                <w:rFonts w:ascii="Calibri" w:hAnsi="Calibri"/>
                <w:sz w:val="22"/>
              </w:rPr>
              <w:t>In line with guidance direction</w:t>
            </w:r>
          </w:p>
        </w:tc>
      </w:tr>
      <w:tr>
        <w:tc>
          <w:tcPr>
            <w:tcW w:type="dxa" w:w="1234"/>
          </w:tcPr>
          <w:p>
            <w:r>
              <w:rPr>
                <w:rFonts w:ascii="Calibri" w:hAnsi="Calibri"/>
                <w:sz w:val="22"/>
              </w:rPr>
              <w:t>Streaming EBITDA ($M)</w:t>
            </w:r>
          </w:p>
        </w:tc>
        <w:tc>
          <w:tcPr>
            <w:tcW w:type="dxa" w:w="1234"/>
          </w:tcPr>
          <w:p>
            <w:r>
              <w:rPr>
                <w:rFonts w:ascii="Calibri" w:hAnsi="Calibri"/>
                <w:sz w:val="22"/>
              </w:rPr>
              <w:t>$438M</w:t>
            </w:r>
          </w:p>
        </w:tc>
        <w:tc>
          <w:tcPr>
            <w:tcW w:type="dxa" w:w="1234"/>
          </w:tcPr>
          <w:p>
            <w:r>
              <w:rPr>
                <w:rFonts w:ascii="Calibri" w:hAnsi="Calibri"/>
                <w:sz w:val="22"/>
              </w:rPr>
              <w:t>$293M</w:t>
            </w:r>
          </w:p>
        </w:tc>
        <w:tc>
          <w:tcPr>
            <w:tcW w:type="dxa" w:w="1234"/>
          </w:tcPr>
          <w:p>
            <w:r>
              <w:rPr>
                <w:rFonts w:ascii="Calibri" w:hAnsi="Calibri"/>
                <w:sz w:val="22"/>
              </w:rPr>
              <w:t>$382M</w:t>
            </w:r>
          </w:p>
        </w:tc>
        <w:tc>
          <w:tcPr>
            <w:tcW w:type="dxa" w:w="1234"/>
          </w:tcPr>
          <w:p>
            <w:r>
              <w:rPr>
                <w:rFonts w:ascii="Calibri" w:hAnsi="Calibri"/>
                <w:sz w:val="22"/>
              </w:rPr>
              <w:t>+30.4%</w:t>
            </w:r>
          </w:p>
        </w:tc>
        <w:tc>
          <w:tcPr>
            <w:tcW w:type="dxa" w:w="1234"/>
          </w:tcPr>
          <w:p>
            <w:r>
              <w:rPr>
                <w:rFonts w:ascii="Calibri" w:hAnsi="Calibri"/>
                <w:sz w:val="22"/>
              </w:rPr>
              <w:t>"Growing increasingly double digit on the bottom line"</w:t>
            </w:r>
          </w:p>
        </w:tc>
        <w:tc>
          <w:tcPr>
            <w:tcW w:type="dxa" w:w="1234"/>
          </w:tcPr>
          <w:p>
            <w:r>
              <w:rPr>
                <w:rFonts w:ascii="Calibri" w:hAnsi="Calibri"/>
                <w:sz w:val="22"/>
              </w:rPr>
              <w:t>Consensus implies ~30% YoY growth; in line with guidance direction</w:t>
            </w:r>
          </w:p>
        </w:tc>
      </w:tr>
      <w:tr>
        <w:tc>
          <w:tcPr>
            <w:tcW w:type="dxa" w:w="1234"/>
          </w:tcPr>
          <w:p>
            <w:r>
              <w:rPr>
                <w:rFonts w:ascii="Calibri" w:hAnsi="Calibri"/>
                <w:sz w:val="22"/>
              </w:rPr>
              <w:t>Studios Revenue ($B)</w:t>
            </w:r>
          </w:p>
        </w:tc>
        <w:tc>
          <w:tcPr>
            <w:tcW w:type="dxa" w:w="1234"/>
          </w:tcPr>
          <w:p>
            <w:r>
              <w:rPr>
                <w:rFonts w:ascii="Calibri" w:hAnsi="Calibri"/>
                <w:sz w:val="22"/>
              </w:rPr>
              <w:t>$3.125B</w:t>
            </w:r>
          </w:p>
        </w:tc>
        <w:tc>
          <w:tcPr>
            <w:tcW w:type="dxa" w:w="1234"/>
          </w:tcPr>
          <w:p>
            <w:r>
              <w:rPr>
                <w:rFonts w:ascii="Calibri" w:hAnsi="Calibri"/>
                <w:sz w:val="22"/>
              </w:rPr>
              <w:t>$3.801B</w:t>
            </w:r>
          </w:p>
        </w:tc>
        <w:tc>
          <w:tcPr>
            <w:tcW w:type="dxa" w:w="1234"/>
          </w:tcPr>
          <w:p>
            <w:r>
              <w:rPr>
                <w:rFonts w:ascii="Calibri" w:hAnsi="Calibri"/>
                <w:sz w:val="22"/>
              </w:rPr>
              <w:t>$2.966B</w:t>
            </w:r>
          </w:p>
        </w:tc>
        <w:tc>
          <w:tcPr>
            <w:tcW w:type="dxa" w:w="1234"/>
          </w:tcPr>
          <w:p>
            <w:r>
              <w:rPr>
                <w:rFonts w:ascii="Calibri" w:hAnsi="Calibri"/>
                <w:sz w:val="22"/>
              </w:rPr>
              <w:t>-22.0%</w:t>
            </w:r>
          </w:p>
        </w:tc>
        <w:tc>
          <w:tcPr>
            <w:tcW w:type="dxa" w:w="1234"/>
          </w:tcPr>
          <w:p>
            <w:r>
              <w:rPr>
                <w:rFonts w:ascii="Calibri" w:hAnsi="Calibri"/>
                <w:sz w:val="22"/>
              </w:rPr>
              <w:t>FY2026 Studios EBITDA ≥$3B</w:t>
            </w:r>
          </w:p>
        </w:tc>
        <w:tc>
          <w:tcPr>
            <w:tcW w:type="dxa" w:w="1234"/>
          </w:tcPr>
          <w:p>
            <w:r>
              <w:rPr>
                <w:rFonts w:ascii="Calibri" w:hAnsi="Calibri"/>
                <w:sz w:val="22"/>
              </w:rPr>
              <w:t>N/A (quarterly not guided)</w:t>
            </w:r>
          </w:p>
        </w:tc>
      </w:tr>
      <w:tr>
        <w:tc>
          <w:tcPr>
            <w:tcW w:type="dxa" w:w="1234"/>
          </w:tcPr>
          <w:p>
            <w:r>
              <w:rPr>
                <w:rFonts w:ascii="Calibri" w:hAnsi="Calibri"/>
                <w:sz w:val="22"/>
              </w:rPr>
              <w:t>Studios EBITDA ($M)</w:t>
            </w:r>
          </w:p>
        </w:tc>
        <w:tc>
          <w:tcPr>
            <w:tcW w:type="dxa" w:w="1234"/>
          </w:tcPr>
          <w:p>
            <w:r>
              <w:rPr>
                <w:rFonts w:ascii="Calibri" w:hAnsi="Calibri"/>
                <w:sz w:val="22"/>
              </w:rPr>
              <w:t>$775M</w:t>
            </w:r>
          </w:p>
        </w:tc>
        <w:tc>
          <w:tcPr>
            <w:tcW w:type="dxa" w:w="1234"/>
          </w:tcPr>
          <w:p>
            <w:r>
              <w:rPr>
                <w:rFonts w:ascii="Calibri" w:hAnsi="Calibri"/>
                <w:sz w:val="22"/>
              </w:rPr>
              <w:t>$863M</w:t>
            </w:r>
          </w:p>
        </w:tc>
        <w:tc>
          <w:tcPr>
            <w:tcW w:type="dxa" w:w="1234"/>
          </w:tcPr>
          <w:p>
            <w:r>
              <w:rPr>
                <w:rFonts w:ascii="Calibri" w:hAnsi="Calibri"/>
                <w:sz w:val="22"/>
              </w:rPr>
              <w:t>$426M</w:t>
            </w:r>
          </w:p>
        </w:tc>
        <w:tc>
          <w:tcPr>
            <w:tcW w:type="dxa" w:w="1234"/>
          </w:tcPr>
          <w:p>
            <w:r>
              <w:rPr>
                <w:rFonts w:ascii="Calibri" w:hAnsi="Calibri"/>
                <w:sz w:val="22"/>
              </w:rPr>
              <w:t>-50.7%</w:t>
            </w:r>
          </w:p>
        </w:tc>
        <w:tc>
          <w:tcPr>
            <w:tcW w:type="dxa" w:w="1234"/>
          </w:tcPr>
          <w:p>
            <w:r>
              <w:rPr>
                <w:rFonts w:ascii="Calibri" w:hAnsi="Calibri"/>
                <w:sz w:val="22"/>
              </w:rPr>
              <w:t>FY2026 ≥$3B (annual target)</w:t>
            </w:r>
          </w:p>
        </w:tc>
        <w:tc>
          <w:tcPr>
            <w:tcW w:type="dxa" w:w="1234"/>
          </w:tcPr>
          <w:p>
            <w:r>
              <w:rPr>
                <w:rFonts w:ascii="Calibri" w:hAnsi="Calibri"/>
                <w:sz w:val="22"/>
              </w:rPr>
              <w:t>N/A (quarterly not guided)</w:t>
            </w:r>
          </w:p>
        </w:tc>
      </w:tr>
      <w:tr>
        <w:tc>
          <w:tcPr>
            <w:tcW w:type="dxa" w:w="1234"/>
          </w:tcPr>
          <w:p>
            <w:r>
              <w:rPr>
                <w:rFonts w:ascii="Calibri" w:hAnsi="Calibri"/>
                <w:sz w:val="22"/>
              </w:rPr>
              <w:t>Global Linear Networks Revenue ($B)</w:t>
            </w:r>
          </w:p>
        </w:tc>
        <w:tc>
          <w:tcPr>
            <w:tcW w:type="dxa" w:w="1234"/>
          </w:tcPr>
          <w:p>
            <w:r>
              <w:rPr>
                <w:rFonts w:ascii="Calibri" w:hAnsi="Calibri"/>
                <w:sz w:val="22"/>
              </w:rPr>
              <w:t>$4.377B</w:t>
            </w:r>
          </w:p>
        </w:tc>
        <w:tc>
          <w:tcPr>
            <w:tcW w:type="dxa" w:w="1234"/>
          </w:tcPr>
          <w:p>
            <w:r>
              <w:rPr>
                <w:rFonts w:ascii="Calibri" w:hAnsi="Calibri"/>
                <w:sz w:val="22"/>
              </w:rPr>
              <w:t>$4.803B</w:t>
            </w:r>
          </w:p>
        </w:tc>
        <w:tc>
          <w:tcPr>
            <w:tcW w:type="dxa" w:w="1234"/>
          </w:tcPr>
          <w:p>
            <w:r>
              <w:rPr>
                <w:rFonts w:ascii="Calibri" w:hAnsi="Calibri"/>
                <w:sz w:val="22"/>
              </w:rPr>
              <w:t>$4.132B</w:t>
            </w:r>
          </w:p>
        </w:tc>
        <w:tc>
          <w:tcPr>
            <w:tcW w:type="dxa" w:w="1234"/>
          </w:tcPr>
          <w:p>
            <w:r>
              <w:rPr>
                <w:rFonts w:ascii="Calibri" w:hAnsi="Calibri"/>
                <w:sz w:val="22"/>
              </w:rPr>
              <w:t>-13.9%</w:t>
            </w:r>
          </w:p>
        </w:tc>
        <w:tc>
          <w:tcPr>
            <w:tcW w:type="dxa" w:w="1234"/>
          </w:tcPr>
          <w:p>
            <w:r>
              <w:rPr>
                <w:rFonts w:ascii="Calibri" w:hAnsi="Calibri"/>
                <w:sz w:val="22"/>
              </w:rPr>
              <w:t>No specific guidance; secular decline expected</w:t>
            </w:r>
          </w:p>
        </w:tc>
        <w:tc>
          <w:tcPr>
            <w:tcW w:type="dxa" w:w="1234"/>
          </w:tcPr>
          <w:p>
            <w:r>
              <w:rPr>
                <w:rFonts w:ascii="Calibri" w:hAnsi="Calibri"/>
                <w:sz w:val="22"/>
              </w:rPr>
              <w:t>N/A</w:t>
            </w:r>
          </w:p>
        </w:tc>
      </w:tr>
      <w:tr>
        <w:tc>
          <w:tcPr>
            <w:tcW w:type="dxa" w:w="1234"/>
          </w:tcPr>
          <w:p>
            <w:r>
              <w:rPr>
                <w:rFonts w:ascii="Calibri" w:hAnsi="Calibri"/>
                <w:sz w:val="22"/>
              </w:rPr>
              <w:t>Global Linear Networks EBITDA ($B)</w:t>
            </w:r>
          </w:p>
        </w:tc>
        <w:tc>
          <w:tcPr>
            <w:tcW w:type="dxa" w:w="1234"/>
          </w:tcPr>
          <w:p>
            <w:r>
              <w:rPr>
                <w:rFonts w:ascii="Calibri" w:hAnsi="Calibri"/>
                <w:sz w:val="22"/>
              </w:rPr>
              <w:t>$1.634B</w:t>
            </w:r>
          </w:p>
        </w:tc>
        <w:tc>
          <w:tcPr>
            <w:tcW w:type="dxa" w:w="1234"/>
          </w:tcPr>
          <w:p>
            <w:r>
              <w:rPr>
                <w:rFonts w:ascii="Calibri" w:hAnsi="Calibri"/>
                <w:sz w:val="22"/>
              </w:rPr>
              <w:t>$1.512B</w:t>
            </w:r>
          </w:p>
        </w:tc>
        <w:tc>
          <w:tcPr>
            <w:tcW w:type="dxa" w:w="1234"/>
          </w:tcPr>
          <w:p>
            <w:r>
              <w:rPr>
                <w:rFonts w:ascii="Calibri" w:hAnsi="Calibri"/>
                <w:sz w:val="22"/>
              </w:rPr>
              <w:t>$1.393B</w:t>
            </w:r>
          </w:p>
        </w:tc>
        <w:tc>
          <w:tcPr>
            <w:tcW w:type="dxa" w:w="1234"/>
          </w:tcPr>
          <w:p>
            <w:r>
              <w:rPr>
                <w:rFonts w:ascii="Calibri" w:hAnsi="Calibri"/>
                <w:sz w:val="22"/>
              </w:rPr>
              <w:t>-7.9%</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Global Subscribers — HBO &amp; Discovery+ (M)</w:t>
            </w:r>
          </w:p>
        </w:tc>
        <w:tc>
          <w:tcPr>
            <w:tcW w:type="dxa" w:w="1234"/>
          </w:tcPr>
          <w:p>
            <w:r>
              <w:rPr>
                <w:rFonts w:ascii="Calibri" w:hAnsi="Calibri"/>
                <w:sz w:val="22"/>
              </w:rPr>
              <w:t>142.2M</w:t>
            </w:r>
          </w:p>
        </w:tc>
        <w:tc>
          <w:tcPr>
            <w:tcW w:type="dxa" w:w="1234"/>
          </w:tcPr>
          <w:p>
            <w:r>
              <w:rPr>
                <w:rFonts w:ascii="Calibri" w:hAnsi="Calibri"/>
                <w:sz w:val="22"/>
              </w:rPr>
              <w:t>125.7M</w:t>
            </w:r>
          </w:p>
        </w:tc>
        <w:tc>
          <w:tcPr>
            <w:tcW w:type="dxa" w:w="1234"/>
          </w:tcPr>
          <w:p>
            <w:r>
              <w:rPr>
                <w:rFonts w:ascii="Calibri" w:hAnsi="Calibri"/>
                <w:sz w:val="22"/>
              </w:rPr>
              <w:t>147.0M</w:t>
            </w:r>
          </w:p>
        </w:tc>
        <w:tc>
          <w:tcPr>
            <w:tcW w:type="dxa" w:w="1234"/>
          </w:tcPr>
          <w:p>
            <w:r>
              <w:rPr>
                <w:rFonts w:ascii="Calibri" w:hAnsi="Calibri"/>
                <w:sz w:val="22"/>
              </w:rPr>
              <w:t>+16.9%</w:t>
            </w:r>
          </w:p>
        </w:tc>
        <w:tc>
          <w:tcPr>
            <w:tcW w:type="dxa" w:w="1234"/>
          </w:tcPr>
          <w:p>
            <w:r>
              <w:rPr>
                <w:rFonts w:ascii="Calibri" w:hAnsi="Calibri"/>
                <w:sz w:val="22"/>
              </w:rPr>
              <w:t>&gt;150M by year-end 2026</w:t>
            </w:r>
          </w:p>
        </w:tc>
        <w:tc>
          <w:tcPr>
            <w:tcW w:type="dxa" w:w="1234"/>
          </w:tcPr>
          <w:p>
            <w:r>
              <w:rPr>
                <w:rFonts w:ascii="Calibri" w:hAnsi="Calibri"/>
                <w:sz w:val="22"/>
              </w:rPr>
              <w:t>On track; consensus implies ~2% sequential growth</w:t>
            </w:r>
          </w:p>
        </w:tc>
      </w:tr>
      <w:tr>
        <w:tc>
          <w:tcPr>
            <w:tcW w:type="dxa" w:w="1234"/>
          </w:tcPr>
          <w:p>
            <w:r>
              <w:rPr>
                <w:rFonts w:ascii="Calibri" w:hAnsi="Calibri"/>
                <w:sz w:val="22"/>
              </w:rPr>
              <w:t>EPS — Diluted Operating ($/share)</w:t>
            </w:r>
          </w:p>
        </w:tc>
        <w:tc>
          <w:tcPr>
            <w:tcW w:type="dxa" w:w="1234"/>
          </w:tcPr>
          <w:p>
            <w:r>
              <w:rPr>
                <w:rFonts w:ascii="Calibri" w:hAnsi="Calibri"/>
                <w:sz w:val="22"/>
              </w:rPr>
              <w:t>-$0.76 (incl. $2.8B Netflix fee)</w:t>
            </w:r>
          </w:p>
        </w:tc>
        <w:tc>
          <w:tcPr>
            <w:tcW w:type="dxa" w:w="1234"/>
          </w:tcPr>
          <w:p>
            <w:r>
              <w:rPr>
                <w:rFonts w:ascii="Calibri" w:hAnsi="Calibri"/>
                <w:sz w:val="22"/>
              </w:rPr>
              <w:t>$0.63</w:t>
            </w:r>
          </w:p>
        </w:tc>
        <w:tc>
          <w:tcPr>
            <w:tcW w:type="dxa" w:w="1234"/>
          </w:tcPr>
          <w:p>
            <w:r>
              <w:rPr>
                <w:rFonts w:ascii="Calibri" w:hAnsi="Calibri"/>
                <w:sz w:val="22"/>
              </w:rPr>
              <w:t>-$0.07</w:t>
            </w:r>
          </w:p>
        </w:tc>
        <w:tc>
          <w:tcPr>
            <w:tcW w:type="dxa" w:w="1234"/>
          </w:tcPr>
          <w:p>
            <w:r>
              <w:rPr>
                <w:rFonts w:ascii="Calibri" w:hAnsi="Calibri"/>
                <w:sz w:val="22"/>
              </w:rPr>
              <w:t>N/M</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-$476M</w:t>
            </w:r>
          </w:p>
        </w:tc>
        <w:tc>
          <w:tcPr>
            <w:tcW w:type="dxa" w:w="1234"/>
          </w:tcPr>
          <w:p>
            <w:r>
              <w:rPr>
                <w:rFonts w:ascii="Calibri" w:hAnsi="Calibri"/>
                <w:sz w:val="22"/>
              </w:rPr>
              <w:t>$702M</w:t>
            </w:r>
          </w:p>
        </w:tc>
        <w:tc>
          <w:tcPr>
            <w:tcW w:type="dxa" w:w="1234"/>
          </w:tcPr>
          <w:p>
            <w:r>
              <w:rPr>
                <w:rFonts w:ascii="Calibri" w:hAnsi="Calibri"/>
                <w:sz w:val="22"/>
              </w:rPr>
              <w:t>$724M</w:t>
            </w:r>
          </w:p>
        </w:tc>
        <w:tc>
          <w:tcPr>
            <w:tcW w:type="dxa" w:w="1234"/>
          </w:tcPr>
          <w:p>
            <w:r>
              <w:rPr>
                <w:rFonts w:ascii="Calibri" w:hAnsi="Calibri"/>
                <w:sz w:val="22"/>
              </w:rPr>
              <w:t>+3.1%</w:t>
            </w:r>
          </w:p>
        </w:tc>
        <w:tc>
          <w:tcPr>
            <w:tcW w:type="dxa" w:w="1234"/>
          </w:tcPr>
          <w:p>
            <w:r>
              <w:rPr>
                <w:rFonts w:ascii="Calibri" w:hAnsi="Calibri"/>
                <w:sz w:val="22"/>
              </w:rPr>
              <w:t>Negative cash impact in 2026 from deal costs; ~$100M flowed in Q1</w:t>
            </w:r>
          </w:p>
        </w:tc>
        <w:tc>
          <w:tcPr>
            <w:tcW w:type="dxa" w:w="1234"/>
          </w:tcPr>
          <w:p>
            <w:r>
              <w:rPr>
                <w:rFonts w:ascii="Calibri" w:hAnsi="Calibri"/>
                <w:sz w:val="22"/>
              </w:rPr>
              <w:t>Consensus above prior year; deal costs remain a headwind</w:t>
            </w:r>
          </w:p>
        </w:tc>
      </w:tr>
    </w:tbl>
    <w:p>
      <w:r>
        <w:rPr>
          <w:rFonts w:ascii="Calibri" w:hAnsi="Calibri"/>
          <w:color w:val="525866"/>
          <w:sz w:val="22"/>
        </w:rPr>
        <w:t>Source: Visible Alpha Consensus and Actuals Data. All consensus figures as of August 5, 2026. Q1 2026 actuals reflect reported figures. Studios EBITDA Q2 2026 consensus of $426M reflects a tough comp vs. Q2 2025 ($863M), which benefited from a strong box office slate. Note: EPS Q1 2026 actual of -$0.76 includes the one-time $2.8B Netflix termination fee; underlying operating EPS was significantly better.</w:t>
      </w:r>
    </w:p>
    <w:p>
      <w:pPr>
        <w:pStyle w:val="Heading2"/>
      </w:pPr>
      <w:r>
        <w:rPr>
          <w:rFonts w:ascii="Calibri" w:hAnsi="Calibri"/>
          <w:b/>
          <w:color w:val="3B4259"/>
          <w:sz w:val="28"/>
        </w:rPr>
        <w:t>Table 2 — Beat/Miss History (Last 8 Quarters, Top 2 KPIs)</w:t>
      </w:r>
    </w:p>
    <w:p>
      <w:r>
        <w:rPr>
          <w:rFonts w:ascii="Calibri" w:hAnsi="Calibri"/>
          <w:b/>
          <w:color w:val="525866"/>
          <w:sz w:val="22"/>
        </w:rPr>
        <w:t xml:space="preserve">Top 2 KPIs: </w:t>
      </w:r>
      <w:r>
        <w:rPr>
          <w:rFonts w:ascii="Calibri" w:hAnsi="Calibri"/>
          <w:color w:val="525866"/>
          <w:sz w:val="22"/>
        </w:rPr>
        <w:t>(1) Streaming EBITDA — the primary measure of the streaming transformation; (2) Total Adjusted EBITDA — the primary valuation KPI (EV/EBITDA).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Streaming EBITDA</w:t>
            </w:r>
          </w:p>
        </w:tc>
        <w:tc>
          <w:tcPr>
            <w:tcW w:type="dxa" w:w="1440"/>
          </w:tcPr>
          <w:p>
            <w:r>
              <w:rPr>
                <w:rFonts w:ascii="Calibri" w:hAnsi="Calibri"/>
                <w:sz w:val="22"/>
              </w:rPr>
              <w:t>-$107M</w:t>
            </w:r>
          </w:p>
        </w:tc>
        <w:tc>
          <w:tcPr>
            <w:tcW w:type="dxa" w:w="1440"/>
          </w:tcPr>
          <w:p>
            <w:r>
              <w:rPr>
                <w:rFonts w:ascii="Calibri" w:hAnsi="Calibri"/>
                <w:sz w:val="22"/>
              </w:rPr>
              <w:t>-$37M</w:t>
            </w:r>
          </w:p>
        </w:tc>
        <w:tc>
          <w:tcPr>
            <w:tcW w:type="dxa" w:w="1440"/>
          </w:tcPr>
          <w:p>
            <w:r>
              <w:rPr>
                <w:rFonts w:ascii="Calibri" w:hAnsi="Calibri"/>
                <w:sz w:val="22"/>
              </w:rPr>
              <w:t>N/M (worse)</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Total Adj. EBITDA</w:t>
            </w:r>
          </w:p>
        </w:tc>
        <w:tc>
          <w:tcPr>
            <w:tcW w:type="dxa" w:w="1440"/>
          </w:tcPr>
          <w:p>
            <w:r>
              <w:rPr>
                <w:rFonts w:ascii="Calibri" w:hAnsi="Calibri"/>
                <w:sz w:val="22"/>
              </w:rPr>
              <w:t>$1.795B</w:t>
            </w:r>
          </w:p>
        </w:tc>
        <w:tc>
          <w:tcPr>
            <w:tcW w:type="dxa" w:w="1440"/>
          </w:tcPr>
          <w:p>
            <w:r>
              <w:rPr>
                <w:rFonts w:ascii="Calibri" w:hAnsi="Calibri"/>
                <w:sz w:val="22"/>
              </w:rPr>
              <w:t>$2.047B</w:t>
            </w:r>
          </w:p>
        </w:tc>
        <w:tc>
          <w:tcPr>
            <w:tcW w:type="dxa" w:w="1440"/>
          </w:tcPr>
          <w:p>
            <w:r>
              <w:rPr>
                <w:rFonts w:ascii="Calibri" w:hAnsi="Calibri"/>
                <w:sz w:val="22"/>
              </w:rPr>
              <w:t>-12.3%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Streaming EBITDA</w:t>
            </w:r>
          </w:p>
        </w:tc>
        <w:tc>
          <w:tcPr>
            <w:tcW w:type="dxa" w:w="1440"/>
          </w:tcPr>
          <w:p>
            <w:r>
              <w:rPr>
                <w:rFonts w:ascii="Calibri" w:hAnsi="Calibri"/>
                <w:sz w:val="22"/>
              </w:rPr>
              <w:t>$289M</w:t>
            </w:r>
          </w:p>
        </w:tc>
        <w:tc>
          <w:tcPr>
            <w:tcW w:type="dxa" w:w="1440"/>
          </w:tcPr>
          <w:p>
            <w:r>
              <w:rPr>
                <w:rFonts w:ascii="Calibri" w:hAnsi="Calibri"/>
                <w:sz w:val="22"/>
              </w:rPr>
              <w:t>$145M</w:t>
            </w:r>
          </w:p>
        </w:tc>
        <w:tc>
          <w:tcPr>
            <w:tcW w:type="dxa" w:w="1440"/>
          </w:tcPr>
          <w:p>
            <w:r>
              <w:rPr>
                <w:rFonts w:ascii="Calibri" w:hAnsi="Calibri"/>
                <w:sz w:val="22"/>
              </w:rPr>
              <w:t>+99.3%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Adj. EBITDA</w:t>
            </w:r>
          </w:p>
        </w:tc>
        <w:tc>
          <w:tcPr>
            <w:tcW w:type="dxa" w:w="1440"/>
          </w:tcPr>
          <w:p>
            <w:r>
              <w:rPr>
                <w:rFonts w:ascii="Calibri" w:hAnsi="Calibri"/>
                <w:sz w:val="22"/>
              </w:rPr>
              <w:t>$2.413B</w:t>
            </w:r>
          </w:p>
        </w:tc>
        <w:tc>
          <w:tcPr>
            <w:tcW w:type="dxa" w:w="1440"/>
          </w:tcPr>
          <w:p>
            <w:r>
              <w:rPr>
                <w:rFonts w:ascii="Calibri" w:hAnsi="Calibri"/>
                <w:sz w:val="22"/>
              </w:rPr>
              <w:t>$2.425B</w:t>
            </w:r>
          </w:p>
        </w:tc>
        <w:tc>
          <w:tcPr>
            <w:tcW w:type="dxa" w:w="1440"/>
          </w:tcPr>
          <w:p>
            <w:r>
              <w:rPr>
                <w:rFonts w:ascii="Calibri" w:hAnsi="Calibri"/>
                <w:sz w:val="22"/>
              </w:rPr>
              <w:t>-0.5%</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Streaming EBITDA</w:t>
            </w:r>
          </w:p>
        </w:tc>
        <w:tc>
          <w:tcPr>
            <w:tcW w:type="dxa" w:w="1440"/>
          </w:tcPr>
          <w:p>
            <w:r>
              <w:rPr>
                <w:rFonts w:ascii="Calibri" w:hAnsi="Calibri"/>
                <w:sz w:val="22"/>
              </w:rPr>
              <w:t>$409M</w:t>
            </w:r>
          </w:p>
        </w:tc>
        <w:tc>
          <w:tcPr>
            <w:tcW w:type="dxa" w:w="1440"/>
          </w:tcPr>
          <w:p>
            <w:r>
              <w:rPr>
                <w:rFonts w:ascii="Calibri" w:hAnsi="Calibri"/>
                <w:sz w:val="22"/>
              </w:rPr>
              <w:t>$275M</w:t>
            </w:r>
          </w:p>
        </w:tc>
        <w:tc>
          <w:tcPr>
            <w:tcW w:type="dxa" w:w="1440"/>
          </w:tcPr>
          <w:p>
            <w:r>
              <w:rPr>
                <w:rFonts w:ascii="Calibri" w:hAnsi="Calibri"/>
                <w:sz w:val="22"/>
              </w:rPr>
              <w:t>+48.7%</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Adj. EBITDA</w:t>
            </w:r>
          </w:p>
        </w:tc>
        <w:tc>
          <w:tcPr>
            <w:tcW w:type="dxa" w:w="1440"/>
          </w:tcPr>
          <w:p>
            <w:r>
              <w:rPr>
                <w:rFonts w:ascii="Calibri" w:hAnsi="Calibri"/>
                <w:sz w:val="22"/>
              </w:rPr>
              <w:t>$2.722B</w:t>
            </w:r>
          </w:p>
        </w:tc>
        <w:tc>
          <w:tcPr>
            <w:tcW w:type="dxa" w:w="1440"/>
          </w:tcPr>
          <w:p>
            <w:r>
              <w:rPr>
                <w:rFonts w:ascii="Calibri" w:hAnsi="Calibri"/>
                <w:sz w:val="22"/>
              </w:rPr>
              <w:t>$2.681B</w:t>
            </w:r>
          </w:p>
        </w:tc>
        <w:tc>
          <w:tcPr>
            <w:tcW w:type="dxa" w:w="1440"/>
          </w:tcPr>
          <w:p>
            <w:r>
              <w:rPr>
                <w:rFonts w:ascii="Calibri" w:hAnsi="Calibri"/>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Streaming EBITDA</w:t>
            </w:r>
          </w:p>
        </w:tc>
        <w:tc>
          <w:tcPr>
            <w:tcW w:type="dxa" w:w="1440"/>
          </w:tcPr>
          <w:p>
            <w:r>
              <w:rPr>
                <w:rFonts w:ascii="Calibri" w:hAnsi="Calibri"/>
                <w:sz w:val="22"/>
              </w:rPr>
              <w:t>$339M</w:t>
            </w:r>
          </w:p>
        </w:tc>
        <w:tc>
          <w:tcPr>
            <w:tcW w:type="dxa" w:w="1440"/>
          </w:tcPr>
          <w:p>
            <w:r>
              <w:rPr>
                <w:rFonts w:ascii="Calibri" w:hAnsi="Calibri"/>
                <w:sz w:val="22"/>
              </w:rPr>
              <w:t>$286M</w:t>
            </w:r>
          </w:p>
        </w:tc>
        <w:tc>
          <w:tcPr>
            <w:tcW w:type="dxa" w:w="1440"/>
          </w:tcPr>
          <w:p>
            <w:r>
              <w:rPr>
                <w:rFonts w:ascii="Calibri" w:hAnsi="Calibri"/>
                <w:sz w:val="22"/>
              </w:rPr>
              <w:t>+18.5%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Adj. EBITDA</w:t>
            </w:r>
          </w:p>
        </w:tc>
        <w:tc>
          <w:tcPr>
            <w:tcW w:type="dxa" w:w="1440"/>
          </w:tcPr>
          <w:p>
            <w:r>
              <w:rPr>
                <w:rFonts w:ascii="Calibri" w:hAnsi="Calibri"/>
                <w:sz w:val="22"/>
              </w:rPr>
              <w:t>$2.105B</w:t>
            </w:r>
          </w:p>
        </w:tc>
        <w:tc>
          <w:tcPr>
            <w:tcW w:type="dxa" w:w="1440"/>
          </w:tcPr>
          <w:p>
            <w:r>
              <w:rPr>
                <w:rFonts w:ascii="Calibri" w:hAnsi="Calibri"/>
                <w:sz w:val="22"/>
              </w:rPr>
              <w:t>$2.035B</w:t>
            </w:r>
          </w:p>
        </w:tc>
        <w:tc>
          <w:tcPr>
            <w:tcW w:type="dxa" w:w="1440"/>
          </w:tcPr>
          <w:p>
            <w:r>
              <w:rPr>
                <w:rFonts w:ascii="Calibri" w:hAnsi="Calibri"/>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Streaming EBITDA</w:t>
            </w:r>
          </w:p>
        </w:tc>
        <w:tc>
          <w:tcPr>
            <w:tcW w:type="dxa" w:w="1440"/>
          </w:tcPr>
          <w:p>
            <w:r>
              <w:rPr>
                <w:rFonts w:ascii="Calibri" w:hAnsi="Calibri"/>
                <w:sz w:val="22"/>
              </w:rPr>
              <w:t>$293M</w:t>
            </w:r>
          </w:p>
        </w:tc>
        <w:tc>
          <w:tcPr>
            <w:tcW w:type="dxa" w:w="1440"/>
          </w:tcPr>
          <w:p>
            <w:r>
              <w:rPr>
                <w:rFonts w:ascii="Calibri" w:hAnsi="Calibri"/>
                <w:sz w:val="22"/>
              </w:rPr>
              <w:t>$219M</w:t>
            </w:r>
          </w:p>
        </w:tc>
        <w:tc>
          <w:tcPr>
            <w:tcW w:type="dxa" w:w="1440"/>
          </w:tcPr>
          <w:p>
            <w:r>
              <w:rPr>
                <w:rFonts w:ascii="Calibri" w:hAnsi="Calibri"/>
                <w:sz w:val="22"/>
              </w:rPr>
              <w:t>+33.8%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Adj. EBITDA</w:t>
            </w:r>
          </w:p>
        </w:tc>
        <w:tc>
          <w:tcPr>
            <w:tcW w:type="dxa" w:w="1440"/>
          </w:tcPr>
          <w:p>
            <w:r>
              <w:rPr>
                <w:rFonts w:ascii="Calibri" w:hAnsi="Calibri"/>
                <w:sz w:val="22"/>
              </w:rPr>
              <w:t>$1.953B</w:t>
            </w:r>
          </w:p>
        </w:tc>
        <w:tc>
          <w:tcPr>
            <w:tcW w:type="dxa" w:w="1440"/>
          </w:tcPr>
          <w:p>
            <w:r>
              <w:rPr>
                <w:rFonts w:ascii="Calibri" w:hAnsi="Calibri"/>
                <w:sz w:val="22"/>
              </w:rPr>
              <w:t>$1.836B</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Streaming EBITDA</w:t>
            </w:r>
          </w:p>
        </w:tc>
        <w:tc>
          <w:tcPr>
            <w:tcW w:type="dxa" w:w="1440"/>
          </w:tcPr>
          <w:p>
            <w:r>
              <w:rPr>
                <w:rFonts w:ascii="Calibri" w:hAnsi="Calibri"/>
                <w:sz w:val="22"/>
              </w:rPr>
              <w:t>$345M</w:t>
            </w:r>
          </w:p>
        </w:tc>
        <w:tc>
          <w:tcPr>
            <w:tcW w:type="dxa" w:w="1440"/>
          </w:tcPr>
          <w:p>
            <w:r>
              <w:rPr>
                <w:rFonts w:ascii="Calibri" w:hAnsi="Calibri"/>
                <w:sz w:val="22"/>
              </w:rPr>
              <w:t>$354M</w:t>
            </w:r>
          </w:p>
        </w:tc>
        <w:tc>
          <w:tcPr>
            <w:tcW w:type="dxa" w:w="1440"/>
          </w:tcPr>
          <w:p>
            <w:r>
              <w:rPr>
                <w:rFonts w:ascii="Calibri" w:hAnsi="Calibri"/>
                <w:sz w:val="22"/>
              </w:rPr>
              <w:t>-2.5%</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Total Adj. EBITDA</w:t>
            </w:r>
          </w:p>
        </w:tc>
        <w:tc>
          <w:tcPr>
            <w:tcW w:type="dxa" w:w="1440"/>
          </w:tcPr>
          <w:p>
            <w:r>
              <w:rPr>
                <w:rFonts w:ascii="Calibri" w:hAnsi="Calibri"/>
                <w:sz w:val="22"/>
              </w:rPr>
              <w:t>$2.470B</w:t>
            </w:r>
          </w:p>
        </w:tc>
        <w:tc>
          <w:tcPr>
            <w:tcW w:type="dxa" w:w="1440"/>
          </w:tcPr>
          <w:p>
            <w:r>
              <w:rPr>
                <w:rFonts w:ascii="Calibri" w:hAnsi="Calibri"/>
                <w:sz w:val="22"/>
              </w:rPr>
              <w:t>$2.225B</w:t>
            </w:r>
          </w:p>
        </w:tc>
        <w:tc>
          <w:tcPr>
            <w:tcW w:type="dxa" w:w="1440"/>
          </w:tcPr>
          <w:p>
            <w:r>
              <w:rPr>
                <w:rFonts w:ascii="Calibri" w:hAnsi="Calibri"/>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Streaming EBITDA</w:t>
            </w:r>
          </w:p>
        </w:tc>
        <w:tc>
          <w:tcPr>
            <w:tcW w:type="dxa" w:w="1440"/>
          </w:tcPr>
          <w:p>
            <w:r>
              <w:rPr>
                <w:rFonts w:ascii="Calibri" w:hAnsi="Calibri"/>
                <w:sz w:val="22"/>
              </w:rPr>
              <w:t>$393M</w:t>
            </w:r>
          </w:p>
        </w:tc>
        <w:tc>
          <w:tcPr>
            <w:tcW w:type="dxa" w:w="1440"/>
          </w:tcPr>
          <w:p>
            <w:r>
              <w:rPr>
                <w:rFonts w:ascii="Calibri" w:hAnsi="Calibri"/>
                <w:sz w:val="22"/>
              </w:rPr>
              <w:t>$393M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Total Adj. EBITDA</w:t>
            </w:r>
          </w:p>
        </w:tc>
        <w:tc>
          <w:tcPr>
            <w:tcW w:type="dxa" w:w="1440"/>
          </w:tcPr>
          <w:p>
            <w:r>
              <w:rPr>
                <w:rFonts w:ascii="Calibri" w:hAnsi="Calibri"/>
                <w:sz w:val="22"/>
              </w:rPr>
              <w:t>$2.216B</w:t>
            </w:r>
          </w:p>
        </w:tc>
        <w:tc>
          <w:tcPr>
            <w:tcW w:type="dxa" w:w="1440"/>
          </w:tcPr>
          <w:p>
            <w:r>
              <w:rPr>
                <w:rFonts w:ascii="Calibri" w:hAnsi="Calibri"/>
                <w:sz w:val="22"/>
              </w:rPr>
              <w:t>$2.190B</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Streaming EBITDA</w:t>
            </w:r>
          </w:p>
        </w:tc>
        <w:tc>
          <w:tcPr>
            <w:tcW w:type="dxa" w:w="1440"/>
          </w:tcPr>
          <w:p>
            <w:r>
              <w:rPr>
                <w:rFonts w:ascii="Calibri" w:hAnsi="Calibri"/>
                <w:sz w:val="22"/>
              </w:rPr>
              <w:t>$438M</w:t>
            </w:r>
          </w:p>
        </w:tc>
        <w:tc>
          <w:tcPr>
            <w:tcW w:type="dxa" w:w="1440"/>
          </w:tcPr>
          <w:p>
            <w:r>
              <w:rPr>
                <w:rFonts w:ascii="Calibri" w:hAnsi="Calibri"/>
                <w:sz w:val="22"/>
              </w:rPr>
              <w:t>$326M</w:t>
            </w:r>
          </w:p>
        </w:tc>
        <w:tc>
          <w:tcPr>
            <w:tcW w:type="dxa" w:w="1440"/>
          </w:tcPr>
          <w:p>
            <w:r>
              <w:rPr>
                <w:rFonts w:ascii="Calibri" w:hAnsi="Calibri"/>
                <w:sz w:val="22"/>
              </w:rPr>
              <w:t>+34.4%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Adj. EBITDA</w:t>
            </w:r>
          </w:p>
        </w:tc>
        <w:tc>
          <w:tcPr>
            <w:tcW w:type="dxa" w:w="1440"/>
          </w:tcPr>
          <w:p>
            <w:r>
              <w:rPr>
                <w:rFonts w:ascii="Calibri" w:hAnsi="Calibri"/>
                <w:sz w:val="22"/>
              </w:rPr>
              <w:t>$2.203B</w:t>
            </w:r>
          </w:p>
        </w:tc>
        <w:tc>
          <w:tcPr>
            <w:tcW w:type="dxa" w:w="1440"/>
          </w:tcPr>
          <w:p>
            <w:r>
              <w:rPr>
                <w:rFonts w:ascii="Calibri" w:hAnsi="Calibri"/>
                <w:sz w:val="22"/>
              </w:rPr>
              <w:t>$1.972B</w:t>
            </w:r>
          </w:p>
        </w:tc>
        <w:tc>
          <w:tcPr>
            <w:tcW w:type="dxa" w:w="1440"/>
          </w:tcPr>
          <w:p>
            <w:r>
              <w:rPr>
                <w:rFonts w:ascii="Calibri" w:hAnsi="Calibri"/>
                <w:sz w:val="22"/>
              </w:rPr>
              <w:t>+11.7%</w:t>
            </w:r>
          </w:p>
        </w:tc>
        <w:tc>
          <w:tcPr>
            <w:tcW w:type="dxa" w:w="1440"/>
          </w:tcPr>
          <w:p>
            <w:r>
              <w:rPr>
                <w:rFonts w:ascii="Calibri" w:hAnsi="Calibri"/>
                <w:b/>
                <w:color w:val="30A46C"/>
                <w:sz w:val="22"/>
              </w:rPr>
              <w:t>Beat</w:t>
            </w:r>
          </w:p>
        </w:tc>
      </w:tr>
    </w:tbl>
    <w:p>
      <w:r>
        <w:rPr>
          <w:rFonts w:ascii="Calibri" w:hAnsi="Calibri"/>
          <w:color w:val="525866"/>
          <w:sz w:val="22"/>
        </w:rPr>
        <w:t xml:space="preserve">Source: Visible Alpha Consensus and Actuals Data. </w:t>
      </w:r>
      <w:r>
        <w:rPr>
          <w:rFonts w:ascii="Calibri" w:hAnsi="Calibri"/>
          <w:b/>
          <w:color w:val="525866"/>
          <w:sz w:val="22"/>
        </w:rPr>
        <w:t xml:space="preserve">Pattern: </w:t>
      </w:r>
      <w:r>
        <w:rPr>
          <w:rFonts w:ascii="Calibri" w:hAnsi="Calibri"/>
          <w:color w:val="525866"/>
          <w:sz w:val="22"/>
        </w:rPr>
        <w:t>WBD has beaten Total Adj. EBITDA consensus in 7 of the last 8 quarters, with the lone miss in Q2 2024 driven by a large one-time content impairment. Streaming EBITDA has beaten in 5 of the last 8 quarters, with consistent large upside surprises in Q3 2024, Q4 2024, Q1 2025, Q2 2025, and Q1 2026 — suggesting consensus systematically underestimates streaming profitability improvement.</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Management's guidance posture has not changed since the Q1 2026 earnings call — no formal revisions have been issued via 8-K or conference — but the tone remains confidently bullish on streaming acceleration and the $3B+ Studios EBITDA target, with the only incremental negative being ongoing deal-related cash costs.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Global Subscribers (Year-End 2026)</w:t>
            </w:r>
          </w:p>
        </w:tc>
        <w:tc>
          <w:tcPr>
            <w:tcW w:type="dxa" w:w="1728"/>
          </w:tcPr>
          <w:p>
            <w:r>
              <w:rPr>
                <w:rFonts w:ascii="Calibri" w:hAnsi="Calibri"/>
                <w:sz w:val="22"/>
              </w:rPr>
              <w:t>&gt;150M</w:t>
            </w:r>
          </w:p>
        </w:tc>
        <w:tc>
          <w:tcPr>
            <w:tcW w:type="dxa" w:w="1728"/>
          </w:tcPr>
          <w:p>
            <w:r>
              <w:rPr>
                <w:rFonts w:ascii="Calibri" w:hAnsi="Calibri"/>
                <w:sz w:val="22"/>
              </w:rPr>
              <w:t>—</w:t>
            </w:r>
          </w:p>
        </w:tc>
        <w:tc>
          <w:tcPr>
            <w:tcW w:type="dxa" w:w="1728"/>
          </w:tcPr>
          <w:p>
            <w:r>
              <w:rPr>
                <w:rFonts w:ascii="Calibri" w:hAnsi="Calibri"/>
                <w:sz w:val="22"/>
              </w:rPr>
              <w:t>153.4M (FY2026 consensus)</w:t>
            </w:r>
          </w:p>
        </w:tc>
        <w:tc>
          <w:tcPr>
            <w:tcW w:type="dxa" w:w="1728"/>
          </w:tcPr>
          <w:p>
            <w:r>
              <w:rPr>
                <w:rFonts w:ascii="Calibri" w:hAnsi="Calibri"/>
                <w:sz w:val="22"/>
              </w:rPr>
              <w:t>Raised from &gt;140M at Q4 2025 earnings; consensus slightly above guidance midpoint</w:t>
            </w:r>
          </w:p>
        </w:tc>
      </w:tr>
      <w:tr>
        <w:tc>
          <w:tcPr>
            <w:tcW w:type="dxa" w:w="1728"/>
          </w:tcPr>
          <w:p>
            <w:r>
              <w:rPr>
                <w:rFonts w:ascii="Calibri" w:hAnsi="Calibri"/>
                <w:sz w:val="22"/>
              </w:rPr>
              <w:t>Streaming Revenue Growth (Q2 2026)</w:t>
            </w:r>
          </w:p>
        </w:tc>
        <w:tc>
          <w:tcPr>
            <w:tcW w:type="dxa" w:w="1728"/>
          </w:tcPr>
          <w:p>
            <w:r>
              <w:rPr>
                <w:rFonts w:ascii="Calibri" w:hAnsi="Calibri"/>
                <w:sz w:val="22"/>
              </w:rPr>
              <w:t>"Healthy acceleration" in subscriber-related revenue growth picking up "real pace in Q2"</w:t>
            </w:r>
          </w:p>
        </w:tc>
        <w:tc>
          <w:tcPr>
            <w:tcW w:type="dxa" w:w="1728"/>
          </w:tcPr>
          <w:p>
            <w:r>
              <w:rPr>
                <w:rFonts w:ascii="Calibri" w:hAnsi="Calibri"/>
                <w:sz w:val="22"/>
              </w:rPr>
              <w:t>—</w:t>
            </w:r>
          </w:p>
        </w:tc>
        <w:tc>
          <w:tcPr>
            <w:tcW w:type="dxa" w:w="1728"/>
          </w:tcPr>
          <w:p>
            <w:r>
              <w:rPr>
                <w:rFonts w:ascii="Calibri" w:hAnsi="Calibri"/>
                <w:sz w:val="22"/>
              </w:rPr>
              <w:t>$3.03B (+8.5% YoY)</w:t>
            </w:r>
          </w:p>
        </w:tc>
        <w:tc>
          <w:tcPr>
            <w:tcW w:type="dxa" w:w="1728"/>
          </w:tcPr>
          <w:p>
            <w:r>
              <w:rPr>
                <w:rFonts w:ascii="Calibri" w:hAnsi="Calibri"/>
                <w:sz w:val="22"/>
              </w:rPr>
              <w:t>Qualitative guidance; consensus implies acceleration vs. Q1 2026 (+8.5% vs. prior trend)</w:t>
            </w:r>
          </w:p>
        </w:tc>
      </w:tr>
      <w:tr>
        <w:tc>
          <w:tcPr>
            <w:tcW w:type="dxa" w:w="1728"/>
          </w:tcPr>
          <w:p>
            <w:r>
              <w:rPr>
                <w:rFonts w:ascii="Calibri" w:hAnsi="Calibri"/>
                <w:sz w:val="22"/>
              </w:rPr>
              <w:t>Streaming EBITDA Growth (FY2026)</w:t>
            </w:r>
          </w:p>
        </w:tc>
        <w:tc>
          <w:tcPr>
            <w:tcW w:type="dxa" w:w="1728"/>
          </w:tcPr>
          <w:p>
            <w:r>
              <w:rPr>
                <w:rFonts w:ascii="Calibri" w:hAnsi="Calibri"/>
                <w:sz w:val="22"/>
              </w:rPr>
              <w:t>"Growing increasingly double digit on the bottom line"; profit growth "starting to accelerate"</w:t>
            </w:r>
          </w:p>
        </w:tc>
        <w:tc>
          <w:tcPr>
            <w:tcW w:type="dxa" w:w="1728"/>
          </w:tcPr>
          <w:p>
            <w:r>
              <w:rPr>
                <w:rFonts w:ascii="Calibri" w:hAnsi="Calibri"/>
                <w:sz w:val="22"/>
              </w:rPr>
              <w:t>—</w:t>
            </w:r>
          </w:p>
        </w:tc>
        <w:tc>
          <w:tcPr>
            <w:tcW w:type="dxa" w:w="1728"/>
          </w:tcPr>
          <w:p>
            <w:r>
              <w:rPr>
                <w:rFonts w:ascii="Calibri" w:hAnsi="Calibri"/>
                <w:sz w:val="22"/>
              </w:rPr>
              <w:t>$1.874B (FY2026 consensus)</w:t>
            </w:r>
          </w:p>
        </w:tc>
        <w:tc>
          <w:tcPr>
            <w:tcW w:type="dxa" w:w="1728"/>
          </w:tcPr>
          <w:p>
            <w:r>
              <w:rPr>
                <w:rFonts w:ascii="Calibri" w:hAnsi="Calibri"/>
                <w:sz w:val="22"/>
              </w:rPr>
              <w:t>Unchanged; consensus implies ~34% YoY growth for FY2026 vs. FY2025 $1.4B</w:t>
            </w:r>
          </w:p>
        </w:tc>
      </w:tr>
      <w:tr>
        <w:tc>
          <w:tcPr>
            <w:tcW w:type="dxa" w:w="1728"/>
          </w:tcPr>
          <w:p>
            <w:r>
              <w:rPr>
                <w:rFonts w:ascii="Calibri" w:hAnsi="Calibri"/>
                <w:sz w:val="22"/>
              </w:rPr>
              <w:t>WB Studios Adj. EBITDA (FY2026)</w:t>
            </w:r>
          </w:p>
        </w:tc>
        <w:tc>
          <w:tcPr>
            <w:tcW w:type="dxa" w:w="1728"/>
          </w:tcPr>
          <w:p>
            <w:r>
              <w:rPr>
                <w:rFonts w:ascii="Calibri" w:hAnsi="Calibri"/>
                <w:sz w:val="22"/>
              </w:rPr>
              <w:t>≥$3B annual target; "maintaining that profit level is healthy and certainly an ambition"</w:t>
            </w:r>
          </w:p>
        </w:tc>
        <w:tc>
          <w:tcPr>
            <w:tcW w:type="dxa" w:w="1728"/>
          </w:tcPr>
          <w:p>
            <w:r>
              <w:rPr>
                <w:rFonts w:ascii="Calibri" w:hAnsi="Calibri"/>
                <w:sz w:val="22"/>
              </w:rPr>
              <w:t>—</w:t>
            </w:r>
          </w:p>
        </w:tc>
        <w:tc>
          <w:tcPr>
            <w:tcW w:type="dxa" w:w="1728"/>
          </w:tcPr>
          <w:p>
            <w:r>
              <w:rPr>
                <w:rFonts w:ascii="Calibri" w:hAnsi="Calibri"/>
                <w:sz w:val="22"/>
              </w:rPr>
              <w:t>$2.573B (FY2026 consensus)</w:t>
            </w:r>
          </w:p>
        </w:tc>
        <w:tc>
          <w:tcPr>
            <w:tcW w:type="dxa" w:w="1728"/>
          </w:tcPr>
          <w:p>
            <w:r>
              <w:rPr>
                <w:rFonts w:ascii="Calibri" w:hAnsi="Calibri"/>
                <w:sz w:val="22"/>
              </w:rPr>
              <w:t>Consensus materially below management's $3B target; street skeptical given Q2 comp headwind</w:t>
            </w:r>
          </w:p>
        </w:tc>
      </w:tr>
      <w:tr>
        <w:tc>
          <w:tcPr>
            <w:tcW w:type="dxa" w:w="1728"/>
          </w:tcPr>
          <w:p>
            <w:r>
              <w:rPr>
                <w:rFonts w:ascii="Calibri" w:hAnsi="Calibri"/>
                <w:sz w:val="22"/>
              </w:rPr>
              <w:t>Free Cash Flow / Deal Costs (FY2026)</w:t>
            </w:r>
          </w:p>
        </w:tc>
        <w:tc>
          <w:tcPr>
            <w:tcW w:type="dxa" w:w="1728"/>
          </w:tcPr>
          <w:p>
            <w:r>
              <w:rPr>
                <w:rFonts w:ascii="Calibri" w:hAnsi="Calibri"/>
                <w:sz w:val="22"/>
              </w:rPr>
              <w:t>"Pretty meaningful negative cash impact" similar to 2025; ~$100M flowed in Q1</w:t>
            </w:r>
          </w:p>
        </w:tc>
        <w:tc>
          <w:tcPr>
            <w:tcW w:type="dxa" w:w="1728"/>
          </w:tcPr>
          <w:p>
            <w:r>
              <w:rPr>
                <w:rFonts w:ascii="Calibri" w:hAnsi="Calibri"/>
                <w:sz w:val="22"/>
              </w:rPr>
              <w:t>—</w:t>
            </w:r>
          </w:p>
        </w:tc>
        <w:tc>
          <w:tcPr>
            <w:tcW w:type="dxa" w:w="1728"/>
          </w:tcPr>
          <w:p>
            <w:r>
              <w:rPr>
                <w:rFonts w:ascii="Calibri" w:hAnsi="Calibri"/>
                <w:sz w:val="22"/>
              </w:rPr>
              <w:t>$2.794B (FY2026 consensus)</w:t>
            </w:r>
          </w:p>
        </w:tc>
        <w:tc>
          <w:tcPr>
            <w:tcW w:type="dxa" w:w="1728"/>
          </w:tcPr>
          <w:p>
            <w:r>
              <w:rPr>
                <w:rFonts w:ascii="Calibri" w:hAnsi="Calibri"/>
                <w:sz w:val="22"/>
              </w:rPr>
              <w:t>Deal advisory fees, bridge interest, and tax leakage continue to weigh on FCF through close</w:t>
            </w:r>
          </w:p>
        </w:tc>
      </w:tr>
      <w:tr>
        <w:tc>
          <w:tcPr>
            <w:tcW w:type="dxa" w:w="1728"/>
          </w:tcPr>
          <w:p>
            <w:r>
              <w:rPr>
                <w:rFonts w:ascii="Calibri" w:hAnsi="Calibri"/>
                <w:sz w:val="22"/>
              </w:rPr>
              <w:t>Total Adj. EBITDA (FY2026)</w:t>
            </w:r>
          </w:p>
        </w:tc>
        <w:tc>
          <w:tcPr>
            <w:tcW w:type="dxa" w:w="1728"/>
          </w:tcPr>
          <w:p>
            <w:r>
              <w:rPr>
                <w:rFonts w:ascii="Calibri" w:hAnsi="Calibri"/>
                <w:sz w:val="22"/>
              </w:rPr>
              <w:t>No explicit FY2026 total EBITDA guidance provided</w:t>
            </w:r>
          </w:p>
        </w:tc>
        <w:tc>
          <w:tcPr>
            <w:tcW w:type="dxa" w:w="1728"/>
          </w:tcPr>
          <w:p>
            <w:r>
              <w:rPr>
                <w:rFonts w:ascii="Calibri" w:hAnsi="Calibri"/>
                <w:sz w:val="22"/>
              </w:rPr>
              <w:t>—</w:t>
            </w:r>
          </w:p>
        </w:tc>
        <w:tc>
          <w:tcPr>
            <w:tcW w:type="dxa" w:w="1728"/>
          </w:tcPr>
          <w:p>
            <w:r>
              <w:rPr>
                <w:rFonts w:ascii="Calibri" w:hAnsi="Calibri"/>
                <w:sz w:val="22"/>
              </w:rPr>
              <w:t>$8.382B (FY2026 consensus)</w:t>
            </w:r>
          </w:p>
        </w:tc>
        <w:tc>
          <w:tcPr>
            <w:tcW w:type="dxa" w:w="1728"/>
          </w:tcPr>
          <w:p>
            <w:r>
              <w:rPr>
                <w:rFonts w:ascii="Calibri" w:hAnsi="Calibri"/>
                <w:sz w:val="22"/>
              </w:rPr>
              <w:t>Consensus unchanged since Q1 print; no new guidance events post-May 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the Q1 print (Total EBITDA -4.0%, Streaming EBITDA -0.4%), while FY2026 estimates are essentially flat — the street is not chasing management's bullish tone, which creates a low bar and potential upside if streaming profitability accelerates as guided. The widest gap is in Studios EBITDA, where consensus ($2.57B FY2026) sits well below management's ≥$3B target.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11,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$9.167B</w:t>
            </w:r>
          </w:p>
        </w:tc>
        <w:tc>
          <w:tcPr>
            <w:tcW w:type="dxa" w:w="1080"/>
          </w:tcPr>
          <w:p>
            <w:r>
              <w:rPr>
                <w:rFonts w:ascii="Calibri" w:hAnsi="Calibri"/>
                <w:sz w:val="22"/>
              </w:rPr>
              <w:t>$9.180B</w:t>
            </w:r>
          </w:p>
        </w:tc>
        <w:tc>
          <w:tcPr>
            <w:tcW w:type="dxa" w:w="1080"/>
          </w:tcPr>
          <w:p>
            <w:r>
              <w:rPr>
                <w:rFonts w:ascii="Calibri" w:hAnsi="Calibri"/>
                <w:sz w:val="22"/>
              </w:rPr>
              <w:t>+0.1%</w:t>
            </w:r>
          </w:p>
        </w:tc>
        <w:tc>
          <w:tcPr>
            <w:tcW w:type="dxa" w:w="1080"/>
          </w:tcPr>
          <w:p>
            <w:r>
              <w:rPr>
                <w:rFonts w:ascii="Calibri" w:hAnsi="Calibri"/>
                <w:sz w:val="22"/>
              </w:rPr>
              <w:t>No specific Q2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Adj. EBITDA (Q2 2026)</w:t>
            </w:r>
          </w:p>
        </w:tc>
        <w:tc>
          <w:tcPr>
            <w:tcW w:type="dxa" w:w="1080"/>
          </w:tcPr>
          <w:p>
            <w:r>
              <w:rPr>
                <w:rFonts w:ascii="Calibri" w:hAnsi="Calibri"/>
                <w:sz w:val="22"/>
              </w:rPr>
              <w:t>$1.911B</w:t>
            </w:r>
          </w:p>
        </w:tc>
        <w:tc>
          <w:tcPr>
            <w:tcW w:type="dxa" w:w="1080"/>
          </w:tcPr>
          <w:p>
            <w:r>
              <w:rPr>
                <w:rFonts w:ascii="Calibri" w:hAnsi="Calibri"/>
                <w:sz w:val="22"/>
              </w:rPr>
              <w:t>$1.843B</w:t>
            </w:r>
          </w:p>
        </w:tc>
        <w:tc>
          <w:tcPr>
            <w:tcW w:type="dxa" w:w="1080"/>
          </w:tcPr>
          <w:p>
            <w:r>
              <w:rPr>
                <w:rFonts w:ascii="Calibri" w:hAnsi="Calibri"/>
                <w:sz w:val="22"/>
              </w:rPr>
              <w:t>-3.6%</w:t>
            </w:r>
          </w:p>
        </w:tc>
        <w:tc>
          <w:tcPr>
            <w:tcW w:type="dxa" w:w="1080"/>
          </w:tcPr>
          <w:p>
            <w:r>
              <w:rPr>
                <w:rFonts w:ascii="Calibri" w:hAnsi="Calibri"/>
                <w:sz w:val="22"/>
              </w:rPr>
              <w:t>No specific Q2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Streaming EBITDA (Q2 2026)</w:t>
            </w:r>
          </w:p>
        </w:tc>
        <w:tc>
          <w:tcPr>
            <w:tcW w:type="dxa" w:w="1080"/>
          </w:tcPr>
          <w:p>
            <w:r>
              <w:rPr>
                <w:rFonts w:ascii="Calibri" w:hAnsi="Calibri"/>
                <w:sz w:val="22"/>
              </w:rPr>
              <w:t>$381M</w:t>
            </w:r>
          </w:p>
        </w:tc>
        <w:tc>
          <w:tcPr>
            <w:tcW w:type="dxa" w:w="1080"/>
          </w:tcPr>
          <w:p>
            <w:r>
              <w:rPr>
                <w:rFonts w:ascii="Calibri" w:hAnsi="Calibri"/>
                <w:sz w:val="22"/>
              </w:rPr>
              <w:t>$382M</w:t>
            </w:r>
          </w:p>
        </w:tc>
        <w:tc>
          <w:tcPr>
            <w:tcW w:type="dxa" w:w="1080"/>
          </w:tcPr>
          <w:p>
            <w:r>
              <w:rPr>
                <w:rFonts w:ascii="Calibri" w:hAnsi="Calibri"/>
                <w:sz w:val="22"/>
              </w:rPr>
              <w:t>+0.3%</w:t>
            </w:r>
          </w:p>
        </w:tc>
        <w:tc>
          <w:tcPr>
            <w:tcW w:type="dxa" w:w="1080"/>
          </w:tcPr>
          <w:p>
            <w:r>
              <w:rPr>
                <w:rFonts w:ascii="Calibri" w:hAnsi="Calibri"/>
                <w:sz w:val="22"/>
              </w:rPr>
              <w:t>"Double digit" YoY growth; acceleration in Q2</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+30% YoY; in line with guidance direction</w:t>
            </w:r>
          </w:p>
        </w:tc>
      </w:tr>
      <w:tr>
        <w:tc>
          <w:tcPr>
            <w:tcW w:type="dxa" w:w="1080"/>
          </w:tcPr>
          <w:p>
            <w:r>
              <w:rPr>
                <w:rFonts w:ascii="Calibri" w:hAnsi="Calibri"/>
                <w:sz w:val="22"/>
              </w:rPr>
              <w:t>Studios EBITDA (Q2 2026)</w:t>
            </w:r>
          </w:p>
        </w:tc>
        <w:tc>
          <w:tcPr>
            <w:tcW w:type="dxa" w:w="1080"/>
          </w:tcPr>
          <w:p>
            <w:r>
              <w:rPr>
                <w:rFonts w:ascii="Calibri" w:hAnsi="Calibri"/>
                <w:sz w:val="22"/>
              </w:rPr>
              <w:t>$486M</w:t>
            </w:r>
          </w:p>
        </w:tc>
        <w:tc>
          <w:tcPr>
            <w:tcW w:type="dxa" w:w="1080"/>
          </w:tcPr>
          <w:p>
            <w:r>
              <w:rPr>
                <w:rFonts w:ascii="Calibri" w:hAnsi="Calibri"/>
                <w:sz w:val="22"/>
              </w:rPr>
              <w:t>$426M</w:t>
            </w:r>
          </w:p>
        </w:tc>
        <w:tc>
          <w:tcPr>
            <w:tcW w:type="dxa" w:w="1080"/>
          </w:tcPr>
          <w:p>
            <w:r>
              <w:rPr>
                <w:rFonts w:ascii="Calibri" w:hAnsi="Calibri"/>
                <w:sz w:val="22"/>
              </w:rPr>
              <w:t>-12.3%</w:t>
            </w:r>
          </w:p>
        </w:tc>
        <w:tc>
          <w:tcPr>
            <w:tcW w:type="dxa" w:w="1080"/>
          </w:tcPr>
          <w:p>
            <w:r>
              <w:rPr>
                <w:rFonts w:ascii="Calibri" w:hAnsi="Calibri"/>
                <w:sz w:val="22"/>
              </w:rPr>
              <w:t>FY2026 ≥$3B annual target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 (quarterly not guided)</w:t>
            </w:r>
          </w:p>
        </w:tc>
      </w:tr>
      <w:tr>
        <w:tc>
          <w:tcPr>
            <w:tcW w:type="dxa" w:w="1080"/>
          </w:tcPr>
          <w:p>
            <w:r>
              <w:rPr>
                <w:rFonts w:ascii="Calibri" w:hAnsi="Calibri"/>
                <w:sz w:val="22"/>
              </w:rPr>
              <w:t>Global Subscribers (Q2 2026)</w:t>
            </w:r>
          </w:p>
        </w:tc>
        <w:tc>
          <w:tcPr>
            <w:tcW w:type="dxa" w:w="1080"/>
          </w:tcPr>
          <w:p>
            <w:r>
              <w:rPr>
                <w:rFonts w:ascii="Calibri" w:hAnsi="Calibri"/>
                <w:sz w:val="22"/>
              </w:rPr>
              <w:t>147.4M</w:t>
            </w:r>
          </w:p>
        </w:tc>
        <w:tc>
          <w:tcPr>
            <w:tcW w:type="dxa" w:w="1080"/>
          </w:tcPr>
          <w:p>
            <w:r>
              <w:rPr>
                <w:rFonts w:ascii="Calibri" w:hAnsi="Calibri"/>
                <w:sz w:val="22"/>
              </w:rPr>
              <w:t>147.0M</w:t>
            </w:r>
          </w:p>
        </w:tc>
        <w:tc>
          <w:tcPr>
            <w:tcW w:type="dxa" w:w="1080"/>
          </w:tcPr>
          <w:p>
            <w:r>
              <w:rPr>
                <w:rFonts w:ascii="Calibri" w:hAnsi="Calibri"/>
                <w:sz w:val="22"/>
              </w:rPr>
              <w:t>-0.3%</w:t>
            </w:r>
          </w:p>
        </w:tc>
        <w:tc>
          <w:tcPr>
            <w:tcW w:type="dxa" w:w="1080"/>
          </w:tcPr>
          <w:p>
            <w:r>
              <w:rPr>
                <w:rFonts w:ascii="Calibri" w:hAnsi="Calibri"/>
                <w:sz w:val="22"/>
              </w:rPr>
              <w:t>&gt;150M by year-end 2026</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On track; Q2 consensus implies sequential adds of ~4.8M</w:t>
            </w:r>
          </w:p>
        </w:tc>
      </w:tr>
      <w:tr>
        <w:tc>
          <w:tcPr>
            <w:tcW w:type="dxa" w:w="1080"/>
          </w:tcPr>
          <w:p>
            <w:r>
              <w:rPr>
                <w:rFonts w:ascii="Calibri" w:hAnsi="Calibri"/>
                <w:sz w:val="22"/>
              </w:rPr>
              <w:t>Total Revenue (FY2026)</w:t>
            </w:r>
          </w:p>
        </w:tc>
        <w:tc>
          <w:tcPr>
            <w:tcW w:type="dxa" w:w="1080"/>
          </w:tcPr>
          <w:p>
            <w:r>
              <w:rPr>
                <w:rFonts w:ascii="Calibri" w:hAnsi="Calibri"/>
                <w:sz w:val="22"/>
              </w:rPr>
              <w:t>$36.882B</w:t>
            </w:r>
          </w:p>
        </w:tc>
        <w:tc>
          <w:tcPr>
            <w:tcW w:type="dxa" w:w="1080"/>
          </w:tcPr>
          <w:p>
            <w:r>
              <w:rPr>
                <w:rFonts w:ascii="Calibri" w:hAnsi="Calibri"/>
                <w:sz w:val="22"/>
              </w:rPr>
              <w:t>$36.819B</w:t>
            </w:r>
          </w:p>
        </w:tc>
        <w:tc>
          <w:tcPr>
            <w:tcW w:type="dxa" w:w="1080"/>
          </w:tcPr>
          <w:p>
            <w:r>
              <w:rPr>
                <w:rFonts w:ascii="Calibri" w:hAnsi="Calibri"/>
                <w:sz w:val="22"/>
              </w:rPr>
              <w:t>-0.2%</w:t>
            </w:r>
          </w:p>
        </w:tc>
        <w:tc>
          <w:tcPr>
            <w:tcW w:type="dxa" w:w="1080"/>
          </w:tcPr>
          <w:p>
            <w:r>
              <w:rPr>
                <w:rFonts w:ascii="Calibri" w:hAnsi="Calibri"/>
                <w:sz w:val="22"/>
              </w:rPr>
              <w:t>No explicit FY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Adj. EBITDA (FY2026)</w:t>
            </w:r>
          </w:p>
        </w:tc>
        <w:tc>
          <w:tcPr>
            <w:tcW w:type="dxa" w:w="1080"/>
          </w:tcPr>
          <w:p>
            <w:r>
              <w:rPr>
                <w:rFonts w:ascii="Calibri" w:hAnsi="Calibri"/>
                <w:sz w:val="22"/>
              </w:rPr>
              <w:t>$8.402B</w:t>
            </w:r>
          </w:p>
        </w:tc>
        <w:tc>
          <w:tcPr>
            <w:tcW w:type="dxa" w:w="1080"/>
          </w:tcPr>
          <w:p>
            <w:r>
              <w:rPr>
                <w:rFonts w:ascii="Calibri" w:hAnsi="Calibri"/>
                <w:sz w:val="22"/>
              </w:rPr>
              <w:t>$8.382B</w:t>
            </w:r>
          </w:p>
        </w:tc>
        <w:tc>
          <w:tcPr>
            <w:tcW w:type="dxa" w:w="1080"/>
          </w:tcPr>
          <w:p>
            <w:r>
              <w:rPr>
                <w:rFonts w:ascii="Calibri" w:hAnsi="Calibri"/>
                <w:sz w:val="22"/>
              </w:rPr>
              <w:t>-0.2%</w:t>
            </w:r>
          </w:p>
        </w:tc>
        <w:tc>
          <w:tcPr>
            <w:tcW w:type="dxa" w:w="1080"/>
          </w:tcPr>
          <w:p>
            <w:r>
              <w:rPr>
                <w:rFonts w:ascii="Calibri" w:hAnsi="Calibri"/>
                <w:sz w:val="22"/>
              </w:rPr>
              <w:t>No explicit FY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Streaming EBITDA (FY2026)</w:t>
            </w:r>
          </w:p>
        </w:tc>
        <w:tc>
          <w:tcPr>
            <w:tcW w:type="dxa" w:w="1080"/>
          </w:tcPr>
          <w:p>
            <w:r>
              <w:rPr>
                <w:rFonts w:ascii="Calibri" w:hAnsi="Calibri"/>
                <w:sz w:val="22"/>
              </w:rPr>
              <w:t>$1.877B</w:t>
            </w:r>
          </w:p>
        </w:tc>
        <w:tc>
          <w:tcPr>
            <w:tcW w:type="dxa" w:w="1080"/>
          </w:tcPr>
          <w:p>
            <w:r>
              <w:rPr>
                <w:rFonts w:ascii="Calibri" w:hAnsi="Calibri"/>
                <w:sz w:val="22"/>
              </w:rPr>
              <w:t>$1.874B</w:t>
            </w:r>
          </w:p>
        </w:tc>
        <w:tc>
          <w:tcPr>
            <w:tcW w:type="dxa" w:w="1080"/>
          </w:tcPr>
          <w:p>
            <w:r>
              <w:rPr>
                <w:rFonts w:ascii="Calibri" w:hAnsi="Calibri"/>
                <w:sz w:val="22"/>
              </w:rPr>
              <w:t>-0.2%</w:t>
            </w:r>
          </w:p>
        </w:tc>
        <w:tc>
          <w:tcPr>
            <w:tcW w:type="dxa" w:w="1080"/>
          </w:tcPr>
          <w:p>
            <w:r>
              <w:rPr>
                <w:rFonts w:ascii="Calibri" w:hAnsi="Calibri"/>
                <w:sz w:val="22"/>
              </w:rPr>
              <w:t>"Double digit" YoY growth; accelerating through year</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implies ~34% YoY growth; in line with guidance</w:t>
            </w:r>
          </w:p>
        </w:tc>
      </w:tr>
      <w:tr>
        <w:tc>
          <w:tcPr>
            <w:tcW w:type="dxa" w:w="1080"/>
          </w:tcPr>
          <w:p>
            <w:r>
              <w:rPr>
                <w:rFonts w:ascii="Calibri" w:hAnsi="Calibri"/>
                <w:sz w:val="22"/>
              </w:rPr>
              <w:t>Studios EBITDA (FY2026)</w:t>
            </w:r>
          </w:p>
        </w:tc>
        <w:tc>
          <w:tcPr>
            <w:tcW w:type="dxa" w:w="1080"/>
          </w:tcPr>
          <w:p>
            <w:r>
              <w:rPr>
                <w:rFonts w:ascii="Calibri" w:hAnsi="Calibri"/>
                <w:sz w:val="22"/>
              </w:rPr>
              <w:t>$2.643B</w:t>
            </w:r>
          </w:p>
        </w:tc>
        <w:tc>
          <w:tcPr>
            <w:tcW w:type="dxa" w:w="1080"/>
          </w:tcPr>
          <w:p>
            <w:r>
              <w:rPr>
                <w:rFonts w:ascii="Calibri" w:hAnsi="Calibri"/>
                <w:sz w:val="22"/>
              </w:rPr>
              <w:t>$2.573B</w:t>
            </w:r>
          </w:p>
        </w:tc>
        <w:tc>
          <w:tcPr>
            <w:tcW w:type="dxa" w:w="1080"/>
          </w:tcPr>
          <w:p>
            <w:r>
              <w:rPr>
                <w:rFonts w:ascii="Calibri" w:hAnsi="Calibri"/>
                <w:sz w:val="22"/>
              </w:rPr>
              <w:t>-2.6%</w:t>
            </w:r>
          </w:p>
        </w:tc>
        <w:tc>
          <w:tcPr>
            <w:tcW w:type="dxa" w:w="1080"/>
          </w:tcPr>
          <w:p>
            <w:r>
              <w:rPr>
                <w:rFonts w:ascii="Calibri" w:hAnsi="Calibri"/>
                <w:sz w:val="22"/>
              </w:rPr>
              <w:t>≥$3B annual target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-14% below $3B target; key debate for the print</w:t>
            </w:r>
          </w:p>
        </w:tc>
      </w:tr>
      <w:tr>
        <w:tc>
          <w:tcPr>
            <w:tcW w:type="dxa" w:w="1080"/>
          </w:tcPr>
          <w:p>
            <w:r>
              <w:rPr>
                <w:rFonts w:ascii="Calibri" w:hAnsi="Calibri"/>
                <w:sz w:val="22"/>
              </w:rPr>
              <w:t>Global Subscribers (FY2026)</w:t>
            </w:r>
          </w:p>
        </w:tc>
        <w:tc>
          <w:tcPr>
            <w:tcW w:type="dxa" w:w="1080"/>
          </w:tcPr>
          <w:p>
            <w:r>
              <w:rPr>
                <w:rFonts w:ascii="Calibri" w:hAnsi="Calibri"/>
                <w:sz w:val="22"/>
              </w:rPr>
              <w:t>153.8M</w:t>
            </w:r>
          </w:p>
        </w:tc>
        <w:tc>
          <w:tcPr>
            <w:tcW w:type="dxa" w:w="1080"/>
          </w:tcPr>
          <w:p>
            <w:r>
              <w:rPr>
                <w:rFonts w:ascii="Calibri" w:hAnsi="Calibri"/>
                <w:sz w:val="22"/>
              </w:rPr>
              <w:t>153.4M</w:t>
            </w:r>
          </w:p>
        </w:tc>
        <w:tc>
          <w:tcPr>
            <w:tcW w:type="dxa" w:w="1080"/>
          </w:tcPr>
          <w:p>
            <w:r>
              <w:rPr>
                <w:rFonts w:ascii="Calibri" w:hAnsi="Calibri"/>
                <w:sz w:val="22"/>
              </w:rPr>
              <w:t>-0.3%</w:t>
            </w:r>
          </w:p>
        </w:tc>
        <w:tc>
          <w:tcPr>
            <w:tcW w:type="dxa" w:w="1080"/>
          </w:tcPr>
          <w:p>
            <w:r>
              <w:rPr>
                <w:rFonts w:ascii="Calibri" w:hAnsi="Calibri"/>
                <w:sz w:val="22"/>
              </w:rPr>
              <w:t>&gt;150M by year-end 2026</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+2.3% above guidance floor; on track</w:t>
            </w:r>
          </w:p>
        </w:tc>
      </w:tr>
    </w:tbl>
    <w:p>
      <w:r>
        <w:rPr>
          <w:rFonts w:ascii="Calibri" w:hAnsi="Calibri"/>
          <w:color w:val="525866"/>
          <w:sz w:val="22"/>
        </w:rPr>
        <w:t xml:space="preserve">Source: Visible Alpha Consensus and Actuals Data. </w:t>
      </w:r>
      <w:r>
        <w:rPr>
          <w:rFonts w:ascii="Calibri" w:hAnsi="Calibri"/>
          <w:b/>
          <w:color w:val="525866"/>
          <w:sz w:val="22"/>
        </w:rPr>
        <w:t>The most notable divergence is Studios EBITDA</w:t>
      </w:r>
      <w:r>
        <w:rPr>
          <w:rFonts w:ascii="Calibri" w:hAnsi="Calibri"/>
          <w:color w:val="525866"/>
          <w:sz w:val="22"/>
        </w:rPr>
        <w:t>: consensus FY2026 of $2.57B sits ~14% below management's ≥$3B target, and the Q2 2026 estimate has been revised down -12.3% since the Q1 print, reflecting a tough box office comp. If management reiterates the $3B target on the Q2 call, it would imply a significant H2 2026 ramp that the street is not currently pricing in.</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WBD has underperformed both the S&amp;P 500 and its closest cable peer (Comcast) since the Q1 2026 print, declining ~4.5% vs. S&amp;P 500 +4.9% — the stock is trading as a deal-spread instrument capped at the $31/share Paramount acquisition price, with the July 13 state AG lawsuit filing the primary catalyst for the recent leg lower.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WBD vs. CMCSA vs. S&amp;P 500 (SPY) — Indexed to 100 at Q1 2026 Earnings (May 6, 2026). Source: Yahoo Finance / Stock Price Data.</w:t>
      </w:r>
    </w:p>
    <w:p>
      <w:r>
        <w:rPr>
          <w:rFonts w:ascii="Calibri" w:hAnsi="Calibri"/>
          <w:color w:val="525866"/>
          <w:sz w:val="22"/>
        </w:rPr>
        <w:t xml:space="preserve">Since the Q1 2026 earnings print on May 6, WBD has declined from $27.20 to $25.97 (-4.5%), while the S&amp;P 500 (SPY) has gained +4.9% and Comcast (CMCSA) has declined -6.4%. The stock traded in a tight range of $26.80–$27.50 through early June, essentially pricing in the $31/share deal price at a modest discount for deal risk. The first meaningful leg lower came on June 5 (stock fell to $26.24) coinciding with broader market weakness, followed by a second leg lower in mid-July after the 12-state AG lawsuit was filed on July 13 (stock fell from $27.09 to $25.86 by July 20, a -4.5% move in one week). The stock has stabilized around $25.80–$26.30 since late July, implying the market is pricing in meaningful deal-close uncertainty. </w:t>
      </w:r>
    </w:p>
    <w:p>
      <w:r>
        <w:rPr>
          <w:rFonts w:ascii="Calibri" w:hAnsi="Calibri"/>
          <w:b/>
          <w:color w:val="525866"/>
          <w:sz w:val="22"/>
        </w:rPr>
        <w:t xml:space="preserve">Key events since Q1 earnings: </w:t>
      </w:r>
      <w:r>
        <w:rPr>
          <w:rFonts w:ascii="Calibri" w:hAnsi="Calibri"/>
          <w:color w:val="525866"/>
          <w:sz w:val="22"/>
        </w:rPr>
        <w:t>(1) June 5: DOJ approved the Paramount-WBD merger; (2) June 9: WBD shareholders rejected executive compensation in a non-binding Say-on-Pay vote (1.31B votes against vs. 244M for); (3) June 30: UK government announced potential intervention in the deal; (4) July 13: 12 states (CA, NY AGs) filed federal lawsuit to block the merger; (5) July 13: CEO Zaslav sold 2.18M shares at ~$27.09 under a 10b5-1 plan; (6) July 22: EU approved the deal with concessions.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dominant development since Q1 earnings is the escalating legal battle over the Paramount-WBD merger — 12 states filed suit on July 13 to block the deal, which is the single biggest overhang on the stock and the most important read-through for the Q2 print (management will be pressed on deal timeline and contingency planning).</w:t>
      </w:r>
    </w:p>
    <w:p>
      <w:pPr>
        <w:pStyle w:val="ListBullet"/>
        <w:ind w:left="360" w:hanging="360"/>
      </w:pPr>
      <w:r>
        <w:rPr>
          <w:rFonts w:ascii="Calibri" w:hAnsi="Calibri"/>
          <w:b/>
          <w:color w:val="525866"/>
          <w:sz w:val="22"/>
        </w:rPr>
        <w:t>July 22, 2026 — EU Approves Paramount-WBD Merger with Concessions:</w:t>
      </w:r>
      <w:r>
        <w:rPr>
          <w:rFonts w:ascii="Calibri" w:hAnsi="Calibri"/>
          <w:color w:val="525866"/>
          <w:sz w:val="22"/>
        </w:rPr>
        <w:t xml:space="preserve"> The European Commission conditionally approved the $81B deal, requiring Paramount to terminate its stake in United International Pictures within the EEA within 13 months of closing and to refrain from co-distribution agreements with NBCUniversal for 10 years. </w:t>
      </w:r>
    </w:p>
    <w:p>
      <w:pPr>
        <w:pStyle w:val="ListBullet"/>
        <w:ind w:left="360" w:hanging="360"/>
      </w:pPr>
      <w:r>
        <w:rPr>
          <w:rFonts w:ascii="Calibri" w:hAnsi="Calibri"/>
          <w:b/>
          <w:color w:val="525866"/>
          <w:sz w:val="22"/>
        </w:rPr>
        <w:t>July 13, 2026 — 12 States Sue to Block Merger (Key Overhang):</w:t>
      </w:r>
      <w:r>
        <w:rPr>
          <w:rFonts w:ascii="Calibri" w:hAnsi="Calibri"/>
          <w:color w:val="525866"/>
          <w:sz w:val="22"/>
        </w:rPr>
        <w:t xml:space="preserve"> California AG Rob Bonta and New York AG Letitia James led a coalition of 12 states filing a federal antitrust lawsuit in Northern California, alleging the deal violates Section 7 of the Clayton Act. The suit claims the merger would "destroy competition" and create "unprecedented power and influence over news and entertainment." This is the sharpest legal challenge to the deal and the primary reason for the stock's July decline. </w:t>
      </w:r>
    </w:p>
    <w:p>
      <w:pPr>
        <w:pStyle w:val="ListBullet"/>
        <w:ind w:left="360" w:hanging="360"/>
      </w:pPr>
      <w:r>
        <w:rPr>
          <w:rFonts w:ascii="Calibri" w:hAnsi="Calibri"/>
          <w:b/>
          <w:color w:val="525866"/>
          <w:sz w:val="22"/>
        </w:rPr>
        <w:t>July 13, 2026 — CEO Zaslav Sells 2.18M Shares Under 10b5-1 Plan:</w:t>
      </w:r>
      <w:r>
        <w:rPr>
          <w:rFonts w:ascii="Calibri" w:hAnsi="Calibri"/>
          <w:color w:val="525866"/>
          <w:sz w:val="22"/>
        </w:rPr>
        <w:t xml:space="preserve"> David Zaslav sold 2,184,782 shares at ~$27.09 (filed July 15), reducing his direct holdings to 6.9M shares. The sale was executed under a pre-planned 10b5-1 program, limiting its signal value, but the timing — same day as the state AG lawsuit — drew attention. </w:t>
      </w:r>
    </w:p>
    <w:p>
      <w:pPr>
        <w:pStyle w:val="ListBullet"/>
        <w:ind w:left="360" w:hanging="360"/>
      </w:pPr>
      <w:r>
        <w:rPr>
          <w:rFonts w:ascii="Calibri" w:hAnsi="Calibri"/>
          <w:b/>
          <w:color w:val="525866"/>
          <w:sz w:val="22"/>
        </w:rPr>
        <w:t>June 30, 2026 — UK Government Signals Potential Intervention:</w:t>
      </w:r>
      <w:r>
        <w:rPr>
          <w:rFonts w:ascii="Calibri" w:hAnsi="Calibri"/>
          <w:color w:val="525866"/>
          <w:sz w:val="22"/>
        </w:rPr>
        <w:t xml:space="preserve"> UK Culture Minister Lisa Nandy announced the government could intervene in the deal, citing concerns over media plurality and streaming. A July 6 deadline was set for Paramount/WBD to respond. If a formal intervention notice is issued, it triggers Ofcom and CMA reviews (up to 40 days each), potentially delaying the deal beyond the Q3 2026 target close. Paramount offered a "ticking fee" of $0.25/share per quarter beyond September 30 to compensate WBD shareholders for delays. </w:t>
      </w:r>
    </w:p>
    <w:p>
      <w:pPr>
        <w:pStyle w:val="ListBullet"/>
        <w:ind w:left="360" w:hanging="360"/>
      </w:pPr>
      <w:r>
        <w:rPr>
          <w:rFonts w:ascii="Calibri" w:hAnsi="Calibri"/>
          <w:b/>
          <w:color w:val="525866"/>
          <w:sz w:val="22"/>
        </w:rPr>
        <w:t>June 12, 2026 — Shareholders Reject Executive Compensation (Say-on-Pay):</w:t>
      </w:r>
      <w:r>
        <w:rPr>
          <w:rFonts w:ascii="Calibri" w:hAnsi="Calibri"/>
          <w:color w:val="525866"/>
          <w:sz w:val="22"/>
        </w:rPr>
        <w:t xml:space="preserve"> At the June 9 Annual Meeting, shareholders voted 1.31B against vs. 244M for on the non-binding Say-on-Pay vote for 2025 executive compensation. While advisory and non-binding, the overwhelming rejection (84% against) signals significant shareholder dissatisfaction with executive pay amid the pending deal. </w:t>
      </w:r>
    </w:p>
    <w:p>
      <w:pPr>
        <w:pStyle w:val="ListBullet"/>
        <w:ind w:left="360" w:hanging="360"/>
      </w:pPr>
      <w:r>
        <w:rPr>
          <w:rFonts w:ascii="Calibri" w:hAnsi="Calibri"/>
          <w:b/>
          <w:color w:val="525866"/>
          <w:sz w:val="22"/>
        </w:rPr>
        <w:t>June 5/13, 2026 — DOJ Approves Paramount-WBD Merger:</w:t>
      </w:r>
      <w:r>
        <w:rPr>
          <w:rFonts w:ascii="Calibri" w:hAnsi="Calibri"/>
          <w:color w:val="525866"/>
          <w:sz w:val="22"/>
        </w:rPr>
        <w:t xml:space="preserve"> The Justice Department cleared the deal on June 5, though reporting noted senior DOJ leadership closed the investigation before career antitrust lawyers could formally object. The DOJ's outgoing antitrust chief disputed this characterization. </w:t>
      </w:r>
    </w:p>
    <w:p>
      <w:pPr>
        <w:pStyle w:val="ListBullet"/>
        <w:ind w:left="360" w:hanging="360"/>
      </w:pPr>
      <w:r>
        <w:rPr>
          <w:rFonts w:ascii="Calibri" w:hAnsi="Calibri"/>
          <w:b/>
          <w:color w:val="525866"/>
          <w:sz w:val="22"/>
        </w:rPr>
        <w:t>May 6, 2026 — Q1 2026 Results: Streaming Subscribers Exceed 140M Target:</w:t>
      </w:r>
      <w:r>
        <w:rPr>
          <w:rFonts w:ascii="Calibri" w:hAnsi="Calibri"/>
          <w:color w:val="525866"/>
          <w:sz w:val="22"/>
        </w:rPr>
        <w:t xml:space="preserve"> WBD reported Q1 2026 results with streaming subscribers meaningfully exceeding the prior guidance of &gt;140M following HBO Max launches in the UK, Germany, Italy, and Ireland. Management raised the year-end subscriber target to &gt;150M. The $2.8B Netflix termination fee drove a large EPS miss, but underlying EBITDA held steady. </w:t>
      </w:r>
    </w:p>
    <w:p>
      <w:pPr>
        <w:pStyle w:val="ListBullet"/>
        <w:ind w:left="360" w:hanging="360"/>
      </w:pPr>
      <w:r>
        <w:rPr>
          <w:rFonts w:ascii="Calibri" w:hAnsi="Calibri"/>
          <w:b/>
          <w:color w:val="525866"/>
          <w:sz w:val="22"/>
        </w:rPr>
        <w:t>Ongoing — Content Slate for Q2/H2 2026:</w:t>
      </w:r>
      <w:r>
        <w:rPr>
          <w:rFonts w:ascii="Calibri" w:hAnsi="Calibri"/>
          <w:color w:val="525866"/>
          <w:sz w:val="22"/>
        </w:rPr>
        <w:t xml:space="preserve"> Key streaming catalysts include House of the Dragon Season 3 (in production), Lanterns, Stuart Fails to Save the Universe, and Harry Potter and the Philosopher's Stone (Christmas Day). On the theatrical side, 14 films are scheduled for 2026 including Dune: Part Three, Supergirl, Clayface, Practical Magic 2, and Digger (Tom Cruise). Management called the Harry Potter series "the biggest streaming event certainly for us ever." </w:t>
      </w:r>
    </w:p>
    <w:p>
      <w:r>
        <w:br w:type="page"/>
      </w:r>
    </w:p>
    <w:p>
      <w:pPr>
        <w:pStyle w:val="Heading1"/>
        <w:pBdr>
          <w:bottom w:val="single" w:sz="4" w:space="1" w:color="FB9120"/>
        </w:pBdr>
      </w:pPr>
      <w:r>
        <w:rPr>
          <w:rFonts w:ascii="Calibri" w:hAnsi="Calibri"/>
          <w:b/>
          <w:color w:val="3B4259"/>
          <w:sz w:val="40"/>
        </w:rPr>
        <w:t>7. Peer Commentaries — Read-Through for Q2 2026</w:t>
      </w:r>
    </w:p>
    <w:p>
      <w:r>
        <w:rPr>
          <w:rFonts w:ascii="Calibri" w:hAnsi="Calibri"/>
          <w:b/>
          <w:color w:val="525866"/>
          <w:sz w:val="22"/>
        </w:rPr>
        <w:t xml:space="preserve">Key Takeaway: </w:t>
      </w:r>
      <w:r>
        <w:rPr>
          <w:rFonts w:ascii="Calibri" w:hAnsi="Calibri"/>
          <w:color w:val="525866"/>
          <w:sz w:val="22"/>
        </w:rPr>
        <w:t>Netflix's Q2 2026 earnings (July 16) and Disney's Q3 FY2026 earnings (August 5, reporting the April–June quarter) both provide meaningful read-throughs for WBD's Q2 2026 print — NFLX's strong subscriber and revenue trends validate the streaming growth backdrop, while DIS's advertising commentary (competitive pricing pressure in streaming, strength in sports) is directly relevant to WBD's linear and streaming ad revenue outlook.</w:t>
      </w:r>
    </w:p>
    <w:p>
      <w:pPr>
        <w:pStyle w:val="Heading2"/>
      </w:pPr>
      <w:r>
        <w:rPr>
          <w:rFonts w:ascii="Calibri" w:hAnsi="Calibri"/>
          <w:b/>
          <w:color w:val="3B4259"/>
          <w:sz w:val="28"/>
        </w:rPr>
        <w:t>Netflix (NFLX) — Q2 2026 Earnings (Reported July 16, 2026)</w:t>
      </w:r>
    </w:p>
    <w:p>
      <w:r>
        <w:rPr>
          <w:rFonts w:ascii="Calibri" w:hAnsi="Calibri"/>
          <w:b/>
          <w:color w:val="525866"/>
          <w:sz w:val="22"/>
        </w:rPr>
        <w:t xml:space="preserve">Relevance: </w:t>
      </w:r>
      <w:r>
        <w:rPr>
          <w:rFonts w:ascii="Calibri" w:hAnsi="Calibri"/>
          <w:color w:val="525866"/>
          <w:sz w:val="22"/>
        </w:rPr>
        <w:t>Netflix is the primary streaming competitor and the most direct read-through for streaming subscriber trends, engagement, and advertising monetization heading into WBD's Q2 print.</w:t>
      </w:r>
    </w:p>
    <w:p>
      <w:pPr>
        <w:pStyle w:val="ListBullet"/>
        <w:ind w:left="360" w:hanging="360"/>
      </w:pPr>
      <w:r>
        <w:rPr>
          <w:rFonts w:ascii="Calibri" w:hAnsi="Calibri"/>
          <w:b/>
          <w:color w:val="525866"/>
          <w:sz w:val="22"/>
        </w:rPr>
        <w:t>Streaming demand remains robust; healthy acquisition and retention trends:</w:t>
      </w:r>
      <w:r>
        <w:rPr>
          <w:rFonts w:ascii="Calibri" w:hAnsi="Calibri"/>
          <w:color w:val="525866"/>
          <w:sz w:val="22"/>
        </w:rPr>
        <w:t xml:space="preserve"> Netflix guided for 12% revenue growth in Q3 2026 (11% FX-neutral) and reiterated 13–14% full-year top-line growth, implying ~$6B of incremental revenue YoY. Management described "healthy acquisition and retention trends" and noted recent price adjustments are "going well." </w:t>
      </w:r>
    </w:p>
    <w:p>
      <w:pPr>
        <w:pStyle w:val="ListBullet"/>
        <w:ind w:left="360" w:hanging="360"/>
      </w:pPr>
      <w:r>
        <w:rPr>
          <w:rFonts w:ascii="Calibri" w:hAnsi="Calibri"/>
          <w:b/>
          <w:color w:val="525866"/>
          <w:sz w:val="22"/>
        </w:rPr>
        <w:t>Read-through for WBD:</w:t>
      </w:r>
      <w:r>
        <w:rPr>
          <w:rFonts w:ascii="Calibri" w:hAnsi="Calibri"/>
          <w:color w:val="525866"/>
          <w:sz w:val="22"/>
        </w:rPr>
        <w:t xml:space="preserve"> A healthy streaming demand environment supports WBD's guidance for "healthy acceleration in subscriber-related revenue growth" in Q2. If the overall streaming market is growing robustly (Netflix adding members, pricing holding), WBD's HBO Max — which launched in four new European markets in Q1 — should benefit from the same tailwinds. </w:t>
      </w:r>
    </w:p>
    <w:p>
      <w:pPr>
        <w:pStyle w:val="ListBullet"/>
        <w:ind w:left="360" w:hanging="360"/>
      </w:pPr>
      <w:r>
        <w:rPr>
          <w:rFonts w:ascii="Calibri" w:hAnsi="Calibri"/>
          <w:b/>
          <w:color w:val="525866"/>
          <w:sz w:val="22"/>
        </w:rPr>
        <w:t>Advertising: gap between ad-tier and standard ARPM is narrowing:</w:t>
      </w:r>
      <w:r>
        <w:rPr>
          <w:rFonts w:ascii="Calibri" w:hAnsi="Calibri"/>
          <w:color w:val="525866"/>
          <w:sz w:val="22"/>
        </w:rPr>
        <w:t xml:space="preserve"> Netflix noted the gap between ad-tier ARPM and standard-tier ARPM is "narrowing" as it expands demand sources, builds out its own ad tech stack, and adds measurement capabilities. The ads plan at $8.99 is described as "an amazing entry point." </w:t>
      </w:r>
    </w:p>
    <w:p>
      <w:pPr>
        <w:pStyle w:val="ListBullet"/>
        <w:ind w:left="360" w:hanging="360"/>
      </w:pPr>
      <w:r>
        <w:rPr>
          <w:rFonts w:ascii="Calibri" w:hAnsi="Calibri"/>
          <w:b/>
          <w:color w:val="525866"/>
          <w:sz w:val="22"/>
        </w:rPr>
        <w:t>Read-through for WBD:</w:t>
      </w:r>
      <w:r>
        <w:rPr>
          <w:rFonts w:ascii="Calibri" w:hAnsi="Calibri"/>
          <w:color w:val="525866"/>
          <w:sz w:val="22"/>
        </w:rPr>
        <w:t xml:space="preserve"> WBD's streaming ad business is "still very nascent and growing" internationally (per Q1 call). Netflix's commentary that ad monetization is improving as fill rates rise and ad tech matures is a positive signal for WBD's own ad-supported tier trajectory, though WBD is 2–3 years behind Netflix in ad-tier maturity. </w:t>
      </w:r>
    </w:p>
    <w:p>
      <w:pPr>
        <w:pStyle w:val="ListBullet"/>
        <w:ind w:left="360" w:hanging="360"/>
      </w:pPr>
      <w:r>
        <w:rPr>
          <w:rFonts w:ascii="Calibri" w:hAnsi="Calibri"/>
          <w:b/>
          <w:color w:val="525866"/>
          <w:sz w:val="22"/>
        </w:rPr>
        <w:t>Engagement quality improving even as viewing hours soften:</w:t>
      </w:r>
      <w:r>
        <w:rPr>
          <w:rFonts w:ascii="Calibri" w:hAnsi="Calibri"/>
          <w:color w:val="525866"/>
          <w:sz w:val="22"/>
        </w:rPr>
        <w:t xml:space="preserve"> Netflix reported viewing hours grew 2% in H1 2026 (slight acceleration from 1.5% in 2025) but emphasized "engagement quality is improving even as reported viewing hours per member have softened." Live programming (5% of content budget) drives disproportionate sign-ups. </w:t>
      </w:r>
    </w:p>
    <w:p>
      <w:pPr>
        <w:pStyle w:val="ListBullet"/>
        <w:ind w:left="360" w:hanging="360"/>
      </w:pPr>
      <w:r>
        <w:rPr>
          <w:rFonts w:ascii="Calibri" w:hAnsi="Calibri"/>
          <w:b/>
          <w:color w:val="525866"/>
          <w:sz w:val="22"/>
        </w:rPr>
        <w:t>Read-through for WBD:</w:t>
      </w:r>
      <w:r>
        <w:rPr>
          <w:rFonts w:ascii="Calibri" w:hAnsi="Calibri"/>
          <w:color w:val="525866"/>
          <w:sz w:val="22"/>
        </w:rPr>
        <w:t xml:space="preserve"> WBD management cited "the best engagement and churn metrics we've seen in 4 years" on the Q1 call. Netflix's framework — that quality and variety of engagement matter more than raw hours — supports WBD's strategy of premium IP (HBO, DC, Harry Potter) driving retention even at lower volume. </w:t>
      </w:r>
    </w:p>
    <w:p>
      <w:pPr>
        <w:pStyle w:val="ListBullet"/>
        <w:ind w:left="360" w:hanging="360"/>
      </w:pPr>
      <w:r>
        <w:rPr>
          <w:rFonts w:ascii="Calibri" w:hAnsi="Calibri"/>
          <w:b/>
          <w:color w:val="525866"/>
          <w:sz w:val="22"/>
        </w:rPr>
        <w:t>Industry consolidation: Netflix is "primarily builders, not buyers":</w:t>
      </w:r>
      <w:r>
        <w:rPr>
          <w:rFonts w:ascii="Calibri" w:hAnsi="Calibri"/>
          <w:color w:val="525866"/>
          <w:sz w:val="22"/>
        </w:rPr>
        <w:t xml:space="preserve"> Netflix explicitly stated it has a "very high bar to do any big M&amp;A" and "no change to our capital allocation philosophy," while repurchasing a record $4.7B of shares in Q2. </w:t>
      </w:r>
    </w:p>
    <w:p>
      <w:pPr>
        <w:pStyle w:val="ListBullet"/>
        <w:ind w:left="360" w:hanging="360"/>
      </w:pPr>
      <w:r>
        <w:rPr>
          <w:rFonts w:ascii="Calibri" w:hAnsi="Calibri"/>
          <w:b/>
          <w:color w:val="525866"/>
          <w:sz w:val="22"/>
        </w:rPr>
        <w:t>Read-through for WBD:</w:t>
      </w:r>
      <w:r>
        <w:rPr>
          <w:rFonts w:ascii="Calibri" w:hAnsi="Calibri"/>
          <w:color w:val="525866"/>
          <w:sz w:val="22"/>
        </w:rPr>
        <w:t xml:space="preserve"> Netflix's M&amp;A restraint is a mild negative for WBD deal optionality (Netflix was the prior acquirer before Paramount), but is largely irrelevant given the Paramount deal is already signed. More relevant: Netflix's scale (~330M households, 5% global TV view share) underscores the competitive moat WBD needs to close via the Paramount combination. </w:t>
      </w:r>
    </w:p>
    <w:p>
      <w:pPr>
        <w:pStyle w:val="Heading2"/>
      </w:pPr>
      <w:r>
        <w:rPr>
          <w:rFonts w:ascii="Calibri" w:hAnsi="Calibri"/>
          <w:b/>
          <w:color w:val="3B4259"/>
          <w:sz w:val="28"/>
        </w:rPr>
        <w:t>Disney (DIS) — Q3 FY2026 Earnings (Reported August 5, 2026; April–June Quarter)</w:t>
      </w:r>
    </w:p>
    <w:p>
      <w:r>
        <w:rPr>
          <w:rFonts w:ascii="Calibri" w:hAnsi="Calibri"/>
          <w:b/>
          <w:color w:val="525866"/>
          <w:sz w:val="22"/>
        </w:rPr>
        <w:t xml:space="preserve">Relevance: </w:t>
      </w:r>
      <w:r>
        <w:rPr>
          <w:rFonts w:ascii="Calibri" w:hAnsi="Calibri"/>
          <w:color w:val="525866"/>
          <w:sz w:val="22"/>
        </w:rPr>
        <w:t>Disney's fiscal Q3 covers the same April–June calendar quarter as WBD's Q2 2026. Disney's results are the most timely and directly comparable read-through for streaming subscriber trends, advertising conditions, and content spending dynamics in the current reporting period.</w:t>
      </w:r>
    </w:p>
    <w:p>
      <w:pPr>
        <w:pStyle w:val="ListBullet"/>
        <w:ind w:left="360" w:hanging="360"/>
      </w:pPr>
      <w:r>
        <w:rPr>
          <w:rFonts w:ascii="Calibri" w:hAnsi="Calibri"/>
          <w:b/>
          <w:color w:val="525866"/>
          <w:sz w:val="22"/>
        </w:rPr>
        <w:t>Strong Q3 results: total segment operating income +21%, revenue +7%:</w:t>
      </w:r>
      <w:r>
        <w:rPr>
          <w:rFonts w:ascii="Calibri" w:hAnsi="Calibri"/>
          <w:color w:val="525866"/>
          <w:sz w:val="22"/>
        </w:rPr>
        <w:t xml:space="preserve"> Disney reported an "excellent quarter" with total segment operating income up 21% and total company revenue growth of 7%, ahead of prior guidance. Disney Experiences delivered record fiscal Q3 revenue and segment operating income. </w:t>
      </w:r>
    </w:p>
    <w:p>
      <w:pPr>
        <w:pStyle w:val="ListBullet"/>
        <w:ind w:left="360" w:hanging="360"/>
      </w:pPr>
      <w:r>
        <w:rPr>
          <w:rFonts w:ascii="Calibri" w:hAnsi="Calibri"/>
          <w:b/>
          <w:color w:val="525866"/>
          <w:sz w:val="22"/>
        </w:rPr>
        <w:t>Read-through for WBD:</w:t>
      </w:r>
      <w:r>
        <w:rPr>
          <w:rFonts w:ascii="Calibri" w:hAnsi="Calibri"/>
          <w:color w:val="525866"/>
          <w:sz w:val="22"/>
        </w:rPr>
        <w:t xml:space="preserve"> Disney's strong Q3 print — driven by streaming and experiences — validates the broader media sector's resilience and sets a positive tone heading into WBD's print. However, WBD's mix is more linear-heavy and studio-dependent, so the read-through is partial. </w:t>
      </w:r>
    </w:p>
    <w:p>
      <w:pPr>
        <w:pStyle w:val="ListBullet"/>
        <w:ind w:left="360" w:hanging="360"/>
      </w:pPr>
      <w:r>
        <w:rPr>
          <w:rFonts w:ascii="Calibri" w:hAnsi="Calibri"/>
          <w:b/>
          <w:color w:val="525866"/>
          <w:sz w:val="22"/>
        </w:rPr>
        <w:t>Streaming: 13% operating margin in fiscal Q3; on track for double-digit FY2026 margins:</w:t>
      </w:r>
      <w:r>
        <w:rPr>
          <w:rFonts w:ascii="Calibri" w:hAnsi="Calibri"/>
          <w:color w:val="525866"/>
          <w:sz w:val="22"/>
        </w:rPr>
        <w:t xml:space="preserve"> Disney Plus grew users versus the prior year quarter. The company delivered a 13% streaming operating margin in fiscal Q3 and remains on track for double-digit margins in FY2026. The Disney Plus/Hulu/HBO Max bundle is described as "very popular and sticky" with significantly lower churn than standalone products. </w:t>
      </w:r>
    </w:p>
    <w:p>
      <w:pPr>
        <w:pStyle w:val="ListBullet"/>
        <w:ind w:left="360" w:hanging="360"/>
      </w:pPr>
      <w:r>
        <w:rPr>
          <w:rFonts w:ascii="Calibri" w:hAnsi="Calibri"/>
          <w:b/>
          <w:color w:val="525866"/>
          <w:sz w:val="22"/>
        </w:rPr>
        <w:t>Read-through for WBD:</w:t>
      </w:r>
      <w:r>
        <w:rPr>
          <w:rFonts w:ascii="Calibri" w:hAnsi="Calibri"/>
          <w:color w:val="525866"/>
          <w:sz w:val="22"/>
        </w:rPr>
        <w:t xml:space="preserve"> Disney's explicit callout that the Disney Plus/Hulu/HBO Max bundle has "significantly lower churn" than standalone products is a direct positive for WBD's streaming EBITDA — it validates that HBO Max's bundled distribution is a retention driver, supporting WBD's subscriber and ARPU trajectory. </w:t>
      </w:r>
    </w:p>
    <w:p>
      <w:pPr>
        <w:pStyle w:val="ListBullet"/>
        <w:ind w:left="360" w:hanging="360"/>
      </w:pPr>
      <w:r>
        <w:rPr>
          <w:rFonts w:ascii="Calibri" w:hAnsi="Calibri"/>
          <w:b/>
          <w:color w:val="525866"/>
          <w:sz w:val="22"/>
        </w:rPr>
        <w:t>Advertising: healthy in sports, competitive/pricing pressure in streaming:</w:t>
      </w:r>
      <w:r>
        <w:rPr>
          <w:rFonts w:ascii="Calibri" w:hAnsi="Calibri"/>
          <w:color w:val="525866"/>
          <w:sz w:val="22"/>
        </w:rPr>
        <w:t xml:space="preserve"> Disney reported upfront total volume commitments up double digits YoY, with sports volumes up low teens. The Super Bowl inventory is fully sold out. However, management flagged "competitive" conditions in streaming advertising "given the growth of supply in the marketplace," creating "some pricing pressure." Soft categories: telecom, restaurants, CPG. Strong categories: healthcare, financial services, political. </w:t>
      </w:r>
    </w:p>
    <w:p>
      <w:pPr>
        <w:pStyle w:val="ListBullet"/>
        <w:ind w:left="360" w:hanging="360"/>
      </w:pPr>
      <w:r>
        <w:rPr>
          <w:rFonts w:ascii="Calibri" w:hAnsi="Calibri"/>
          <w:b/>
          <w:color w:val="525866"/>
          <w:sz w:val="22"/>
        </w:rPr>
        <w:t>Read-through for WBD:</w:t>
      </w:r>
      <w:r>
        <w:rPr>
          <w:rFonts w:ascii="Calibri" w:hAnsi="Calibri"/>
          <w:color w:val="525866"/>
          <w:sz w:val="22"/>
        </w:rPr>
        <w:t xml:space="preserve"> This is the most important advertising read-through for WBD. The "competitive" streaming ad environment with pricing pressure is a mild negative for WBD's streaming ad revenue growth, particularly as WBD's ad-supported tier is still nascent. However, WBD's linear networks (TNT Sports, CNN, TBS, TLC) benefit from the same strong sports advertising environment Disney described — a positive for WBD's linear ad revenue in Q2. </w:t>
      </w:r>
    </w:p>
    <w:p>
      <w:pPr>
        <w:pStyle w:val="ListBullet"/>
        <w:ind w:left="360" w:hanging="360"/>
      </w:pPr>
      <w:r>
        <w:rPr>
          <w:rFonts w:ascii="Calibri" w:hAnsi="Calibri"/>
          <w:b/>
          <w:color w:val="525866"/>
          <w:sz w:val="22"/>
        </w:rPr>
        <w:t>NBA Finals: highest-rated in 28 years; ESPN's most-watched H1 since 2012:</w:t>
      </w:r>
      <w:r>
        <w:rPr>
          <w:rFonts w:ascii="Calibri" w:hAnsi="Calibri"/>
          <w:color w:val="525866"/>
          <w:sz w:val="22"/>
        </w:rPr>
        <w:t xml:space="preserve"> The NBA Finals (New York Knicks vs. San Antonio Spurs) were the highest-rated in 28 years, and ESPN recorded its most-watched first half of the calendar year since 2012. </w:t>
      </w:r>
    </w:p>
    <w:p>
      <w:pPr>
        <w:pStyle w:val="ListBullet"/>
        <w:ind w:left="360" w:hanging="360"/>
      </w:pPr>
      <w:r>
        <w:rPr>
          <w:rFonts w:ascii="Calibri" w:hAnsi="Calibri"/>
          <w:b/>
          <w:color w:val="525866"/>
          <w:sz w:val="22"/>
        </w:rPr>
        <w:t>Read-through for WBD:</w:t>
      </w:r>
      <w:r>
        <w:rPr>
          <w:rFonts w:ascii="Calibri" w:hAnsi="Calibri"/>
          <w:color w:val="525866"/>
          <w:sz w:val="22"/>
        </w:rPr>
        <w:t xml:space="preserve"> WBD's TNT Sports carries NBA games (though the NBA rights transition to Amazon/NBC is underway). Strong NBA viewership in Q2 is a positive for WBD's linear sports ad revenue in the quarter. Additionally, WBD's March Madness (Q1) was record-breaking, and strong sports viewership trends generally support linear distribution revenue. </w:t>
      </w:r>
    </w:p>
    <w:p>
      <w:pPr>
        <w:pStyle w:val="ListBullet"/>
        <w:ind w:left="360" w:hanging="360"/>
      </w:pPr>
      <w:r>
        <w:rPr>
          <w:rFonts w:ascii="Calibri" w:hAnsi="Calibri"/>
          <w:b/>
          <w:color w:val="525866"/>
          <w:sz w:val="22"/>
        </w:rPr>
        <w:t>Industry consolidation commentary: Fox/Roku acquisition, Comcast NBCU spin-out:</w:t>
      </w:r>
      <w:r>
        <w:rPr>
          <w:rFonts w:ascii="Calibri" w:hAnsi="Calibri"/>
          <w:color w:val="525866"/>
          <w:sz w:val="22"/>
        </w:rPr>
        <w:t xml:space="preserve"> Disney's CEO noted the streaming industry is "consolidating through M&amp;A and through a growing number of partnerships" and that "a more consolidated industry is really a better investment backdrop." Disney does not view Fox/Roku or Comcast restructuring as changing its strategic path. </w:t>
      </w:r>
    </w:p>
    <w:p>
      <w:pPr>
        <w:pStyle w:val="ListBullet"/>
        <w:ind w:left="360" w:hanging="360"/>
      </w:pPr>
      <w:r>
        <w:rPr>
          <w:rFonts w:ascii="Calibri" w:hAnsi="Calibri"/>
          <w:b/>
          <w:color w:val="525866"/>
          <w:sz w:val="22"/>
        </w:rPr>
        <w:t>Read-through for WBD:</w:t>
      </w:r>
      <w:r>
        <w:rPr>
          <w:rFonts w:ascii="Calibri" w:hAnsi="Calibri"/>
          <w:color w:val="525866"/>
          <w:sz w:val="22"/>
        </w:rPr>
        <w:t xml:space="preserve"> Disney's framing that consolidation creates "opportunity" and a "better investment backdrop" is broadly supportive of the Paramount-WBD merger thesis. Disney's own bundling strategy (Disney+/Hulu/ESPN) as a competitive differentiator mirrors WBD's rationale for combining HBO Max with Paramount+. </w:t>
      </w:r>
    </w:p>
    <w:p>
      <w:pPr>
        <w:pStyle w:val="ListBullet"/>
        <w:ind w:left="360" w:hanging="360"/>
      </w:pPr>
      <w:r>
        <w:rPr>
          <w:rFonts w:ascii="Calibri" w:hAnsi="Calibri"/>
          <w:b/>
          <w:color w:val="525866"/>
          <w:sz w:val="22"/>
        </w:rPr>
        <w:t>Content spending: $24B across the company in FY2026, up modestly YoY:</w:t>
      </w:r>
      <w:r>
        <w:rPr>
          <w:rFonts w:ascii="Calibri" w:hAnsi="Calibri"/>
          <w:color w:val="525866"/>
          <w:sz w:val="22"/>
        </w:rPr>
        <w:t xml:space="preserve"> Disney is on track to spend $24B on content in FY2026, a modest increase YoY, with international content as a key growth area. AI is being leveraged across pre- and post-production to drive efficiency. </w:t>
      </w:r>
    </w:p>
    <w:p>
      <w:pPr>
        <w:pStyle w:val="ListBullet"/>
        <w:ind w:left="360" w:hanging="360"/>
      </w:pPr>
      <w:r>
        <w:rPr>
          <w:rFonts w:ascii="Calibri" w:hAnsi="Calibri"/>
          <w:b/>
          <w:color w:val="525866"/>
          <w:sz w:val="22"/>
        </w:rPr>
        <w:t>Read-through for WBD:</w:t>
      </w:r>
      <w:r>
        <w:rPr>
          <w:rFonts w:ascii="Calibri" w:hAnsi="Calibri"/>
          <w:color w:val="525866"/>
          <w:sz w:val="22"/>
        </w:rPr>
        <w:t xml:space="preserve"> Disney's disciplined content spending (growing slower than revenue) and AI efficiency gains mirror WBD's own efficiency narrative. WBD's CFO has highlighted AI as a "more meaningful contributor to efficiencies" — Disney's concrete examples (17 minutes of AI-enhanced footage in a documentary produced "twice as fast at half the cost") validate this as a real near-term lever. </w:t>
      </w:r>
    </w:p>
    <w:p>
      <w:pPr>
        <w:pStyle w:val="Heading2"/>
      </w:pPr>
      <w:r>
        <w:rPr>
          <w:rFonts w:ascii="Calibri" w:hAnsi="Calibri"/>
          <w:b/>
          <w:color w:val="3B4259"/>
          <w:sz w:val="28"/>
        </w:rPr>
        <w:t>Summary Read-Through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Quarter Reported</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Direction for WBD</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Netflix (NFLX)</w:t>
            </w:r>
          </w:p>
        </w:tc>
        <w:tc>
          <w:tcPr>
            <w:tcW w:type="dxa" w:w="1728"/>
          </w:tcPr>
          <w:p>
            <w:r>
              <w:rPr>
                <w:rFonts w:ascii="Calibri" w:hAnsi="Calibri"/>
                <w:sz w:val="22"/>
              </w:rPr>
              <w:t>Q2 2026 (Jul 16)</w:t>
            </w:r>
          </w:p>
        </w:tc>
        <w:tc>
          <w:tcPr>
            <w:tcW w:type="dxa" w:w="1728"/>
          </w:tcPr>
          <w:p>
            <w:r>
              <w:rPr>
                <w:rFonts w:ascii="Calibri" w:hAnsi="Calibri"/>
                <w:sz w:val="22"/>
              </w:rPr>
              <w:t>Healthy acquisition &amp; retention; 12% Q3 revenue growth guide; ad ARPM gap narrowing</w:t>
            </w:r>
          </w:p>
        </w:tc>
        <w:tc>
          <w:tcPr>
            <w:tcW w:type="dxa" w:w="1728"/>
          </w:tcPr>
          <w:p>
            <w:r>
              <w:rPr>
                <w:rFonts w:ascii="Calibri" w:hAnsi="Calibri"/>
                <w:b/>
                <w:color w:val="30A46C"/>
                <w:sz w:val="22"/>
              </w:rPr>
              <w:t>Positive</w:t>
            </w:r>
          </w:p>
        </w:tc>
        <w:tc>
          <w:tcPr>
            <w:tcW w:type="dxa" w:w="1728"/>
          </w:tcPr>
          <w:p>
            <w:r>
              <w:rPr>
                <w:rFonts w:ascii="Calibri" w:hAnsi="Calibri"/>
                <w:sz w:val="22"/>
              </w:rPr>
              <w:t>Validates streaming demand backdrop; ad monetization improving</w:t>
            </w:r>
          </w:p>
        </w:tc>
      </w:tr>
      <w:tr>
        <w:tc>
          <w:tcPr>
            <w:tcW w:type="dxa" w:w="1728"/>
          </w:tcPr>
          <w:p>
            <w:r>
              <w:rPr>
                <w:rFonts w:ascii="Calibri" w:hAnsi="Calibri"/>
                <w:sz w:val="22"/>
              </w:rPr>
              <w:t>Disney (DIS)</w:t>
            </w:r>
          </w:p>
        </w:tc>
        <w:tc>
          <w:tcPr>
            <w:tcW w:type="dxa" w:w="1728"/>
          </w:tcPr>
          <w:p>
            <w:r>
              <w:rPr>
                <w:rFonts w:ascii="Calibri" w:hAnsi="Calibri"/>
                <w:sz w:val="22"/>
              </w:rPr>
              <w:t>Q3 FY2026 (Aug 5)</w:t>
            </w:r>
          </w:p>
        </w:tc>
        <w:tc>
          <w:tcPr>
            <w:tcW w:type="dxa" w:w="1728"/>
          </w:tcPr>
          <w:p>
            <w:r>
              <w:rPr>
                <w:rFonts w:ascii="Calibri" w:hAnsi="Calibri"/>
                <w:sz w:val="22"/>
              </w:rPr>
              <w:t>Streaming margins expanding; sports ad market strong; streaming ad pricing competitive</w:t>
            </w:r>
          </w:p>
        </w:tc>
        <w:tc>
          <w:tcPr>
            <w:tcW w:type="dxa" w:w="1728"/>
          </w:tcPr>
          <w:p>
            <w:r>
              <w:rPr>
                <w:rFonts w:ascii="Calibri" w:hAnsi="Calibri"/>
                <w:b/>
                <w:sz w:val="22"/>
              </w:rPr>
              <w:t>Mixed</w:t>
            </w:r>
          </w:p>
        </w:tc>
        <w:tc>
          <w:tcPr>
            <w:tcW w:type="dxa" w:w="1728"/>
          </w:tcPr>
          <w:p>
            <w:r>
              <w:rPr>
                <w:rFonts w:ascii="Calibri" w:hAnsi="Calibri"/>
                <w:sz w:val="22"/>
              </w:rPr>
              <w:t>Sports ad strength positive for linear; streaming ad pricing pressure mild negative</w:t>
            </w:r>
          </w:p>
        </w:tc>
      </w:tr>
      <w:tr>
        <w:tc>
          <w:tcPr>
            <w:tcW w:type="dxa" w:w="1728"/>
          </w:tcPr>
          <w:p>
            <w:r>
              <w:rPr>
                <w:rFonts w:ascii="Calibri" w:hAnsi="Calibri"/>
                <w:sz w:val="22"/>
              </w:rPr>
              <w:t>Disney (DIS)</w:t>
            </w:r>
          </w:p>
        </w:tc>
        <w:tc>
          <w:tcPr>
            <w:tcW w:type="dxa" w:w="1728"/>
          </w:tcPr>
          <w:p>
            <w:r>
              <w:rPr>
                <w:rFonts w:ascii="Calibri" w:hAnsi="Calibri"/>
                <w:sz w:val="22"/>
              </w:rPr>
              <w:t>Q3 FY2026 (Aug 5)</w:t>
            </w:r>
          </w:p>
        </w:tc>
        <w:tc>
          <w:tcPr>
            <w:tcW w:type="dxa" w:w="1728"/>
          </w:tcPr>
          <w:p>
            <w:r>
              <w:rPr>
                <w:rFonts w:ascii="Calibri" w:hAnsi="Calibri"/>
                <w:sz w:val="22"/>
              </w:rPr>
              <w:t>Disney+/Hulu/HBO Max bundle has "significantly lower churn" than standalone</w:t>
            </w:r>
          </w:p>
        </w:tc>
        <w:tc>
          <w:tcPr>
            <w:tcW w:type="dxa" w:w="1728"/>
          </w:tcPr>
          <w:p>
            <w:r>
              <w:rPr>
                <w:rFonts w:ascii="Calibri" w:hAnsi="Calibri"/>
                <w:b/>
                <w:color w:val="30A46C"/>
                <w:sz w:val="22"/>
              </w:rPr>
              <w:t>Positive</w:t>
            </w:r>
          </w:p>
        </w:tc>
        <w:tc>
          <w:tcPr>
            <w:tcW w:type="dxa" w:w="1728"/>
          </w:tcPr>
          <w:p>
            <w:r>
              <w:rPr>
                <w:rFonts w:ascii="Calibri" w:hAnsi="Calibri"/>
                <w:sz w:val="22"/>
              </w:rPr>
              <w:t>Direct validation of WBD's bundled distribution strategy and retention metrics</w:t>
            </w:r>
          </w:p>
        </w:tc>
      </w:tr>
      <w:tr>
        <w:tc>
          <w:tcPr>
            <w:tcW w:type="dxa" w:w="1728"/>
          </w:tcPr>
          <w:p>
            <w:r>
              <w:rPr>
                <w:rFonts w:ascii="Calibri" w:hAnsi="Calibri"/>
                <w:sz w:val="22"/>
              </w:rPr>
              <w:t>Disney (DIS)</w:t>
            </w:r>
          </w:p>
        </w:tc>
        <w:tc>
          <w:tcPr>
            <w:tcW w:type="dxa" w:w="1728"/>
          </w:tcPr>
          <w:p>
            <w:r>
              <w:rPr>
                <w:rFonts w:ascii="Calibri" w:hAnsi="Calibri"/>
                <w:sz w:val="22"/>
              </w:rPr>
              <w:t>Q3 FY2026 (Aug 5)</w:t>
            </w:r>
          </w:p>
        </w:tc>
        <w:tc>
          <w:tcPr>
            <w:tcW w:type="dxa" w:w="1728"/>
          </w:tcPr>
          <w:p>
            <w:r>
              <w:rPr>
                <w:rFonts w:ascii="Calibri" w:hAnsi="Calibri"/>
                <w:sz w:val="22"/>
              </w:rPr>
              <w:t>NBA Finals highest-rated in 28 years; ESPN most-watched H1 since 2012</w:t>
            </w:r>
          </w:p>
        </w:tc>
        <w:tc>
          <w:tcPr>
            <w:tcW w:type="dxa" w:w="1728"/>
          </w:tcPr>
          <w:p>
            <w:r>
              <w:rPr>
                <w:rFonts w:ascii="Calibri" w:hAnsi="Calibri"/>
                <w:b/>
                <w:color w:val="30A46C"/>
                <w:sz w:val="22"/>
              </w:rPr>
              <w:t>Positive</w:t>
            </w:r>
          </w:p>
        </w:tc>
        <w:tc>
          <w:tcPr>
            <w:tcW w:type="dxa" w:w="1728"/>
          </w:tcPr>
          <w:p>
            <w:r>
              <w:rPr>
                <w:rFonts w:ascii="Calibri" w:hAnsi="Calibri"/>
                <w:sz w:val="22"/>
              </w:rPr>
              <w:t>Strong sports viewership supports WBD's linear sports ad revenue in Q2</w:t>
            </w:r>
          </w:p>
        </w:tc>
      </w:tr>
      <w:tr>
        <w:tc>
          <w:tcPr>
            <w:tcW w:type="dxa" w:w="1728"/>
          </w:tcPr>
          <w:p>
            <w:r>
              <w:rPr>
                <w:rFonts w:ascii="Calibri" w:hAnsi="Calibri"/>
                <w:sz w:val="22"/>
              </w:rPr>
              <w:t>Disney (DIS)</w:t>
            </w:r>
          </w:p>
        </w:tc>
        <w:tc>
          <w:tcPr>
            <w:tcW w:type="dxa" w:w="1728"/>
          </w:tcPr>
          <w:p>
            <w:r>
              <w:rPr>
                <w:rFonts w:ascii="Calibri" w:hAnsi="Calibri"/>
                <w:sz w:val="22"/>
              </w:rPr>
              <w:t>Q3 FY2026 (Aug 5)</w:t>
            </w:r>
          </w:p>
        </w:tc>
        <w:tc>
          <w:tcPr>
            <w:tcW w:type="dxa" w:w="1728"/>
          </w:tcPr>
          <w:p>
            <w:r>
              <w:rPr>
                <w:rFonts w:ascii="Calibri" w:hAnsi="Calibri"/>
                <w:sz w:val="22"/>
              </w:rPr>
              <w:t>Industry consolidation creates "better investment backdrop"</w:t>
            </w:r>
          </w:p>
        </w:tc>
        <w:tc>
          <w:tcPr>
            <w:tcW w:type="dxa" w:w="1728"/>
          </w:tcPr>
          <w:p>
            <w:r>
              <w:rPr>
                <w:rFonts w:ascii="Calibri" w:hAnsi="Calibri"/>
                <w:b/>
                <w:color w:val="30A46C"/>
                <w:sz w:val="22"/>
              </w:rPr>
              <w:t>Positive</w:t>
            </w:r>
          </w:p>
        </w:tc>
        <w:tc>
          <w:tcPr>
            <w:tcW w:type="dxa" w:w="1728"/>
          </w:tcPr>
          <w:p>
            <w:r>
              <w:rPr>
                <w:rFonts w:ascii="Calibri" w:hAnsi="Calibri"/>
                <w:sz w:val="22"/>
              </w:rPr>
              <w:t>Supports Paramount-WBD merger thesis; validates bundling as competitive strategy</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only notable insider transaction since the Q1 2026 earnings print is CEO David Zaslav's sale of 2.18M shares on July 13 under a pre-planned 10b5-1 program — the 10b5-1 designation limits the bearish signal, but the timing (same day as the 12-state AG lawsuit filing) and the size (~24% of his direct holdings) are worth flagging. No open-market purchases have been filed by any insider since the Q1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David Zaslav</w:t>
            </w:r>
          </w:p>
        </w:tc>
        <w:tc>
          <w:tcPr>
            <w:tcW w:type="dxa" w:w="1234"/>
          </w:tcPr>
          <w:p>
            <w:r>
              <w:rPr>
                <w:rFonts w:ascii="Calibri" w:hAnsi="Calibri"/>
                <w:sz w:val="22"/>
              </w:rPr>
              <w:t>CEO &amp; President, Director</w:t>
            </w:r>
          </w:p>
        </w:tc>
        <w:tc>
          <w:tcPr>
            <w:tcW w:type="dxa" w:w="1234"/>
          </w:tcPr>
          <w:p>
            <w:r>
              <w:rPr>
                <w:rFonts w:ascii="Calibri" w:hAnsi="Calibri"/>
                <w:sz w:val="22"/>
              </w:rPr>
              <w:t>10b5-1 Planned Sale</w:t>
            </w:r>
          </w:p>
        </w:tc>
        <w:tc>
          <w:tcPr>
            <w:tcW w:type="dxa" w:w="1234"/>
          </w:tcPr>
          <w:p>
            <w:r>
              <w:rPr>
                <w:rFonts w:ascii="Calibri" w:hAnsi="Calibri"/>
                <w:sz w:val="22"/>
              </w:rPr>
              <w:t>2,184,782</w:t>
            </w:r>
          </w:p>
        </w:tc>
        <w:tc>
          <w:tcPr>
            <w:tcW w:type="dxa" w:w="1234"/>
          </w:tcPr>
          <w:p>
            <w:r>
              <w:rPr>
                <w:rFonts w:ascii="Calibri" w:hAnsi="Calibri"/>
                <w:sz w:val="22"/>
              </w:rPr>
              <w:t>~$59.2M (at ~$27.09/share)</w:t>
            </w:r>
          </w:p>
        </w:tc>
        <w:tc>
          <w:tcPr>
            <w:tcW w:type="dxa" w:w="1234"/>
          </w:tcPr>
          <w:p>
            <w:r>
              <w:rPr>
                <w:rFonts w:ascii="Calibri" w:hAnsi="Calibri"/>
                <w:sz w:val="22"/>
              </w:rPr>
              <w:t>July 13, 2026 (Filed July 15)</w:t>
            </w:r>
          </w:p>
        </w:tc>
        <w:tc>
          <w:tcPr>
            <w:tcW w:type="dxa" w:w="1234"/>
          </w:tcPr>
          <w:p>
            <w:r>
              <w:rPr>
                <w:rFonts w:ascii="Calibri" w:hAnsi="Calibri"/>
                <w:sz w:val="22"/>
              </w:rPr>
              <w:t>Pre-planned 10b5-1 sale; reduces direct holdings to 6.9M shares (~24% of prior position). Coincided with 12-state AG lawsuit filing — timing notable but sale was pre-scheduled.</w:t>
            </w:r>
          </w:p>
        </w:tc>
      </w:tr>
    </w:tbl>
    <w:p>
      <w:r>
        <w:rPr>
          <w:rFonts w:ascii="Calibri" w:hAnsi="Calibri"/>
          <w:color w:val="525866"/>
          <w:sz w:val="22"/>
        </w:rPr>
        <w:t xml:space="preserve">Source: SEC Form 4 Filings / Insider Transaction Data. </w:t>
      </w:r>
      <w:r>
        <w:rPr>
          <w:rFonts w:ascii="Calibri" w:hAnsi="Calibri"/>
          <w:color w:val="525866"/>
          <w:sz w:val="22"/>
        </w:rPr>
        <w:t>No open-market purchases (Form 4 code P) have been filed by any WBD insider since the Q1 2026 earnings print on May 6, 2026. The absence of insider buying, combined with Zaslav's large planned sale, does not send a bullish signal on the standalone stock — though in the context of a pending acquisition at $31/share, insiders have limited incentive to buy in the open market.</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consensus estimates are sourced from Visible Alpha as of August 5, 2026. Insider transaction data sourced from SEC Form 4 filings. Stock price data sourced from Yahoo Finance. Peer commentary sourced from publicly available earnings call transcripts.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