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Warner Bros. Discovery (WBD)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Warner Bros. Discovery, Inc.</w:t>
            </w:r>
          </w:p>
        </w:tc>
      </w:tr>
      <w:tr>
        <w:tc>
          <w:tcPr>
            <w:tcW w:type="dxa" w:w="4320"/>
          </w:tcPr>
          <w:p>
            <w:r>
              <w:rPr>
                <w:rFonts w:ascii="Calibri" w:hAnsi="Calibri"/>
                <w:b/>
                <w:sz w:val="22"/>
              </w:rPr>
              <w:t>Ticker</w:t>
            </w:r>
          </w:p>
        </w:tc>
        <w:tc>
          <w:tcPr>
            <w:tcW w:type="dxa" w:w="4320"/>
          </w:tcPr>
          <w:p>
            <w:r>
              <w:rPr>
                <w:rFonts w:ascii="Calibri" w:hAnsi="Calibri"/>
                <w:sz w:val="22"/>
              </w:rPr>
              <w:t>WBD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6, 2026 — 8:00 AM ET</w:t>
            </w:r>
          </w:p>
        </w:tc>
      </w:tr>
      <w:tr>
        <w:tc>
          <w:tcPr>
            <w:tcW w:type="dxa" w:w="4320"/>
          </w:tcPr>
          <w:p>
            <w:r>
              <w:rPr>
                <w:rFonts w:ascii="Calibri" w:hAnsi="Calibri"/>
                <w:b/>
                <w:sz w:val="22"/>
              </w:rPr>
              <w:t>Prepared</w:t>
            </w:r>
          </w:p>
        </w:tc>
        <w:tc>
          <w:tcPr>
            <w:tcW w:type="dxa" w:w="4320"/>
          </w:tcPr>
          <w:p>
            <w:r>
              <w:rPr>
                <w:rFonts w:ascii="Calibri" w:hAnsi="Calibri"/>
                <w:sz w:val="22"/>
              </w:rPr>
              <w:t>August 5, 2026</w:t>
            </w:r>
          </w:p>
        </w:tc>
      </w:tr>
      <w:tr>
        <w:tc>
          <w:tcPr>
            <w:tcW w:type="dxa" w:w="4320"/>
          </w:tcPr>
          <w:p>
            <w:r>
              <w:rPr>
                <w:rFonts w:ascii="Calibri" w:hAnsi="Calibri"/>
                <w:b/>
                <w:sz w:val="22"/>
              </w:rPr>
              <w:t>Last Earnings</w:t>
            </w:r>
          </w:p>
        </w:tc>
        <w:tc>
          <w:tcPr>
            <w:tcW w:type="dxa" w:w="4320"/>
          </w:tcPr>
          <w:p>
            <w:r>
              <w:rPr>
                <w:rFonts w:ascii="Calibri" w:hAnsi="Calibri"/>
                <w:sz w:val="22"/>
              </w:rPr>
              <w:t>May 6, 2026 (Q1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mixed-to-cautious — consensus has drifted lower since Q1 on both EBITDA and EPS, the stock trades ~16% below the $31 Paramount Skydance offer price, and the </w:t>
      </w:r>
      <w:r>
        <w:rPr>
          <w:rFonts w:ascii="Calibri" w:hAnsi="Calibri"/>
          <w:b/>
          <w:color w:val="525866"/>
          <w:sz w:val="22"/>
        </w:rPr>
        <w:t>Paramount-WBD merger delay and antitrust litigation</w:t>
      </w:r>
      <w:r>
        <w:rPr>
          <w:rFonts w:ascii="Calibri" w:hAnsi="Calibri"/>
          <w:color w:val="525866"/>
          <w:sz w:val="22"/>
        </w:rPr>
        <w:t xml:space="preserve"> are the dominant stock drivers heading into the print. Underlying streaming momentum is the one operational bright spot.</w:t>
      </w:r>
    </w:p>
    <w:p>
      <w:r>
        <w:rPr>
          <w:rFonts w:ascii="Calibri" w:hAnsi="Calibri"/>
          <w:color w:val="525866"/>
          <w:sz w:val="22"/>
        </w:rPr>
        <w:t>Heading into Q2 2026, the bar for WBD is low on reported EPS (consensus at −$0.07) but more meaningful on Adjusted EBITDA ($1.84B consensus vs. $2.20B last quarter), where the Street expects a seasonal step-down driven by lighter studio content and continued linear network erosion. Management's tone on the Q1 call was unambiguously bullish on streaming — subscriber-related revenue growth was flagged to "pick up real pace in Q2 and through the rest of the year" — yet estimate revisions have moved modestly lower since May, suggesting the market is discounting execution risk amid the M&amp;A overhang. The stock has declined roughly 4.5% since the Q1 print (vs. S&amp;P 500 +4.9%), weighed almost entirely by the July 24 court-ordered pause on the Paramount merger and the subsequent delay of the deal close to at least June 2027; the stock now implies only ~50/50 odds of deal completion per Barron's. The single biggest wildcard is any development on the antitrust litigation — a settlement signal from California Governor Newsom (who has publicly urged AG Bonta to settle) or a favorable court ruling could close the ~16% gap to the $31 offer price overnight, while a prolonged trial timeline would keep the stock range-bound near standalone intrinsic value.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low bar on EBITDA and EPS, but </w:t>
      </w:r>
      <w:r>
        <w:rPr>
          <w:rFonts w:ascii="Calibri" w:hAnsi="Calibri"/>
          <w:b/>
          <w:color w:val="525866"/>
          <w:sz w:val="22"/>
        </w:rPr>
        <w:t>streaming subscriber-related revenue growth</w:t>
      </w:r>
      <w:r>
        <w:rPr>
          <w:rFonts w:ascii="Calibri" w:hAnsi="Calibri"/>
          <w:color w:val="525866"/>
          <w:sz w:val="22"/>
        </w:rPr>
        <w:t xml:space="preserve"> is the swing factor — management guided for acceleration in Q2 and the Street will scrutinize whether that materializes. Global subscriber count (now unreported quarterly) has been replaced by revenue growth as the primary streaming KPI.</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(FY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$8.893B</w:t>
            </w:r>
          </w:p>
        </w:tc>
        <w:tc>
          <w:tcPr>
            <w:tcW w:type="dxa" w:w="1234"/>
          </w:tcPr>
          <w:p>
            <w:r>
              <w:rPr>
                <w:rFonts w:ascii="Calibri" w:hAnsi="Calibri"/>
                <w:sz w:val="22"/>
              </w:rPr>
              <w:t>$9.812B</w:t>
            </w:r>
          </w:p>
        </w:tc>
        <w:tc>
          <w:tcPr>
            <w:tcW w:type="dxa" w:w="1234"/>
          </w:tcPr>
          <w:p>
            <w:r>
              <w:rPr>
                <w:rFonts w:ascii="Calibri" w:hAnsi="Calibri"/>
                <w:sz w:val="22"/>
              </w:rPr>
              <w:t>$9.180B</w:t>
            </w:r>
          </w:p>
        </w:tc>
        <w:tc>
          <w:tcPr>
            <w:tcW w:type="dxa" w:w="1234"/>
          </w:tcPr>
          <w:p>
            <w:r>
              <w:rPr>
                <w:rFonts w:ascii="Calibri" w:hAnsi="Calibri"/>
                <w:sz w:val="22"/>
              </w:rPr>
              <w:t>−6.4%</w:t>
            </w:r>
          </w:p>
        </w:tc>
        <w:tc>
          <w:tcPr>
            <w:tcW w:type="dxa" w:w="1234"/>
          </w:tcPr>
          <w:p>
            <w:r>
              <w:rPr>
                <w:rFonts w:ascii="Calibri" w:hAnsi="Calibri"/>
                <w:sz w:val="22"/>
              </w:rPr>
              <w:t>~$36.8B FY</w:t>
            </w:r>
          </w:p>
        </w:tc>
        <w:tc>
          <w:tcPr>
            <w:tcW w:type="dxa" w:w="1234"/>
          </w:tcPr>
          <w:p>
            <w:r>
              <w:rPr>
                <w:rFonts w:ascii="Calibri" w:hAnsi="Calibri"/>
                <w:sz w:val="22"/>
              </w:rPr>
              <w:t>~−1.0% vs. FY run-rate</w:t>
            </w:r>
          </w:p>
        </w:tc>
      </w:tr>
      <w:tr>
        <w:tc>
          <w:tcPr>
            <w:tcW w:type="dxa" w:w="1234"/>
          </w:tcPr>
          <w:p>
            <w:r>
              <w:rPr>
                <w:rFonts w:ascii="Calibri" w:hAnsi="Calibri"/>
                <w:sz w:val="22"/>
              </w:rPr>
              <w:t>Adj. EBITDA — Total ($B)</w:t>
            </w:r>
          </w:p>
        </w:tc>
        <w:tc>
          <w:tcPr>
            <w:tcW w:type="dxa" w:w="1234"/>
          </w:tcPr>
          <w:p>
            <w:r>
              <w:rPr>
                <w:rFonts w:ascii="Calibri" w:hAnsi="Calibri"/>
                <w:sz w:val="22"/>
              </w:rPr>
              <w:t>$2.203B</w:t>
            </w:r>
          </w:p>
        </w:tc>
        <w:tc>
          <w:tcPr>
            <w:tcW w:type="dxa" w:w="1234"/>
          </w:tcPr>
          <w:p>
            <w:r>
              <w:rPr>
                <w:rFonts w:ascii="Calibri" w:hAnsi="Calibri"/>
                <w:sz w:val="22"/>
              </w:rPr>
              <w:t>$1.953B</w:t>
            </w:r>
          </w:p>
        </w:tc>
        <w:tc>
          <w:tcPr>
            <w:tcW w:type="dxa" w:w="1234"/>
          </w:tcPr>
          <w:p>
            <w:r>
              <w:rPr>
                <w:rFonts w:ascii="Calibri" w:hAnsi="Calibri"/>
                <w:sz w:val="22"/>
              </w:rPr>
              <w:t>$1.843B</w:t>
            </w:r>
          </w:p>
        </w:tc>
        <w:tc>
          <w:tcPr>
            <w:tcW w:type="dxa" w:w="1234"/>
          </w:tcPr>
          <w:p>
            <w:r>
              <w:rPr>
                <w:rFonts w:ascii="Calibri" w:hAnsi="Calibri"/>
                <w:sz w:val="22"/>
              </w:rPr>
              <w:t>−5.6%</w:t>
            </w:r>
          </w:p>
        </w:tc>
        <w:tc>
          <w:tcPr>
            <w:tcW w:type="dxa" w:w="1234"/>
          </w:tcPr>
          <w:p>
            <w:r>
              <w:rPr>
                <w:rFonts w:ascii="Calibri" w:hAnsi="Calibri"/>
                <w:sz w:val="22"/>
              </w:rPr>
              <w:t>~$8.4B FY</w:t>
            </w:r>
          </w:p>
        </w:tc>
        <w:tc>
          <w:tcPr>
            <w:tcW w:type="dxa" w:w="1234"/>
          </w:tcPr>
          <w:p>
            <w:r>
              <w:rPr>
                <w:rFonts w:ascii="Calibri" w:hAnsi="Calibri"/>
                <w:sz w:val="22"/>
              </w:rPr>
              <w:t>~−2.0% vs. FY run-rate</w:t>
            </w:r>
          </w:p>
        </w:tc>
      </w:tr>
      <w:tr>
        <w:tc>
          <w:tcPr>
            <w:tcW w:type="dxa" w:w="1234"/>
          </w:tcPr>
          <w:p>
            <w:r>
              <w:rPr>
                <w:rFonts w:ascii="Calibri" w:hAnsi="Calibri"/>
                <w:sz w:val="22"/>
              </w:rPr>
              <w:t>Streaming EBITDA ($M)</w:t>
            </w:r>
          </w:p>
        </w:tc>
        <w:tc>
          <w:tcPr>
            <w:tcW w:type="dxa" w:w="1234"/>
          </w:tcPr>
          <w:p>
            <w:r>
              <w:rPr>
                <w:rFonts w:ascii="Calibri" w:hAnsi="Calibri"/>
                <w:sz w:val="22"/>
              </w:rPr>
              <w:t>$438M</w:t>
            </w:r>
          </w:p>
        </w:tc>
        <w:tc>
          <w:tcPr>
            <w:tcW w:type="dxa" w:w="1234"/>
          </w:tcPr>
          <w:p>
            <w:r>
              <w:rPr>
                <w:rFonts w:ascii="Calibri" w:hAnsi="Calibri"/>
                <w:sz w:val="22"/>
              </w:rPr>
              <w:t>$293M</w:t>
            </w:r>
          </w:p>
        </w:tc>
        <w:tc>
          <w:tcPr>
            <w:tcW w:type="dxa" w:w="1234"/>
          </w:tcPr>
          <w:p>
            <w:r>
              <w:rPr>
                <w:rFonts w:ascii="Calibri" w:hAnsi="Calibri"/>
                <w:sz w:val="22"/>
              </w:rPr>
              <w:t>$382M</w:t>
            </w:r>
          </w:p>
        </w:tc>
        <w:tc>
          <w:tcPr>
            <w:tcW w:type="dxa" w:w="1234"/>
          </w:tcPr>
          <w:p>
            <w:r>
              <w:rPr>
                <w:rFonts w:ascii="Calibri" w:hAnsi="Calibri"/>
                <w:sz w:val="22"/>
              </w:rPr>
              <w:t>+30.4%</w:t>
            </w:r>
          </w:p>
        </w:tc>
        <w:tc>
          <w:tcPr>
            <w:tcW w:type="dxa" w:w="1234"/>
          </w:tcPr>
          <w:p>
            <w:r>
              <w:rPr>
                <w:rFonts w:ascii="Calibri" w:hAnsi="Calibri"/>
                <w:sz w:val="22"/>
              </w:rPr>
              <w:t>~$1.87B FY</w:t>
            </w:r>
          </w:p>
        </w:tc>
        <w:tc>
          <w:tcPr>
            <w:tcW w:type="dxa" w:w="1234"/>
          </w:tcPr>
          <w:p>
            <w:r>
              <w:rPr>
                <w:rFonts w:ascii="Calibri" w:hAnsi="Calibri"/>
                <w:sz w:val="22"/>
              </w:rPr>
              <w:t>On track vs. FY</w:t>
            </w:r>
          </w:p>
        </w:tc>
      </w:tr>
      <w:tr>
        <w:tc>
          <w:tcPr>
            <w:tcW w:type="dxa" w:w="1234"/>
          </w:tcPr>
          <w:p>
            <w:r>
              <w:rPr>
                <w:rFonts w:ascii="Calibri" w:hAnsi="Calibri"/>
                <w:sz w:val="22"/>
              </w:rPr>
              <w:t>Studios EBITDA ($M)</w:t>
            </w:r>
          </w:p>
        </w:tc>
        <w:tc>
          <w:tcPr>
            <w:tcW w:type="dxa" w:w="1234"/>
          </w:tcPr>
          <w:p>
            <w:r>
              <w:rPr>
                <w:rFonts w:ascii="Calibri" w:hAnsi="Calibri"/>
                <w:sz w:val="22"/>
              </w:rPr>
              <w:t>$775M</w:t>
            </w:r>
          </w:p>
        </w:tc>
        <w:tc>
          <w:tcPr>
            <w:tcW w:type="dxa" w:w="1234"/>
          </w:tcPr>
          <w:p>
            <w:r>
              <w:rPr>
                <w:rFonts w:ascii="Calibri" w:hAnsi="Calibri"/>
                <w:sz w:val="22"/>
              </w:rPr>
              <w:t>$863M</w:t>
            </w:r>
          </w:p>
        </w:tc>
        <w:tc>
          <w:tcPr>
            <w:tcW w:type="dxa" w:w="1234"/>
          </w:tcPr>
          <w:p>
            <w:r>
              <w:rPr>
                <w:rFonts w:ascii="Calibri" w:hAnsi="Calibri"/>
                <w:sz w:val="22"/>
              </w:rPr>
              <w:t>$426M</w:t>
            </w:r>
          </w:p>
        </w:tc>
        <w:tc>
          <w:tcPr>
            <w:tcW w:type="dxa" w:w="1234"/>
          </w:tcPr>
          <w:p>
            <w:r>
              <w:rPr>
                <w:rFonts w:ascii="Calibri" w:hAnsi="Calibri"/>
                <w:sz w:val="22"/>
              </w:rPr>
              <w:t>−50.6%</w:t>
            </w:r>
          </w:p>
        </w:tc>
        <w:tc>
          <w:tcPr>
            <w:tcW w:type="dxa" w:w="1234"/>
          </w:tcPr>
          <w:p>
            <w:r>
              <w:rPr>
                <w:rFonts w:ascii="Calibri" w:hAnsi="Calibri"/>
                <w:sz w:val="22"/>
              </w:rPr>
              <w:t>≥$3.0B normalized</w:t>
            </w:r>
          </w:p>
        </w:tc>
        <w:tc>
          <w:tcPr>
            <w:tcW w:type="dxa" w:w="1234"/>
          </w:tcPr>
          <w:p>
            <w:r>
              <w:rPr>
                <w:rFonts w:ascii="Calibri" w:hAnsi="Calibri"/>
                <w:sz w:val="22"/>
              </w:rPr>
              <w:t>~$2.57B FY est. vs. $3B target</w:t>
            </w:r>
          </w:p>
        </w:tc>
      </w:tr>
      <w:tr>
        <w:tc>
          <w:tcPr>
            <w:tcW w:type="dxa" w:w="1234"/>
          </w:tcPr>
          <w:p>
            <w:r>
              <w:rPr>
                <w:rFonts w:ascii="Calibri" w:hAnsi="Calibri"/>
                <w:sz w:val="22"/>
              </w:rPr>
              <w:t>Global Linear Networks Revenue ($B)</w:t>
            </w:r>
          </w:p>
        </w:tc>
        <w:tc>
          <w:tcPr>
            <w:tcW w:type="dxa" w:w="1234"/>
          </w:tcPr>
          <w:p>
            <w:r>
              <w:rPr>
                <w:rFonts w:ascii="Calibri" w:hAnsi="Calibri"/>
                <w:sz w:val="22"/>
              </w:rPr>
              <w:t>$4.377B</w:t>
            </w:r>
          </w:p>
        </w:tc>
        <w:tc>
          <w:tcPr>
            <w:tcW w:type="dxa" w:w="1234"/>
          </w:tcPr>
          <w:p>
            <w:r>
              <w:rPr>
                <w:rFonts w:ascii="Calibri" w:hAnsi="Calibri"/>
                <w:sz w:val="22"/>
              </w:rPr>
              <w:t>$4.803B</w:t>
            </w:r>
          </w:p>
        </w:tc>
        <w:tc>
          <w:tcPr>
            <w:tcW w:type="dxa" w:w="1234"/>
          </w:tcPr>
          <w:p>
            <w:r>
              <w:rPr>
                <w:rFonts w:ascii="Calibri" w:hAnsi="Calibri"/>
                <w:sz w:val="22"/>
              </w:rPr>
              <w:t>$4.132B</w:t>
            </w:r>
          </w:p>
        </w:tc>
        <w:tc>
          <w:tcPr>
            <w:tcW w:type="dxa" w:w="1234"/>
          </w:tcPr>
          <w:p>
            <w:r>
              <w:rPr>
                <w:rFonts w:ascii="Calibri" w:hAnsi="Calibri"/>
                <w:sz w:val="22"/>
              </w:rPr>
              <w:t>−13.9%</w:t>
            </w:r>
          </w:p>
        </w:tc>
        <w:tc>
          <w:tcPr>
            <w:tcW w:type="dxa" w:w="1234"/>
          </w:tcPr>
          <w:p>
            <w:r>
              <w:rPr>
                <w:rFonts w:ascii="Calibri" w:hAnsi="Calibri"/>
                <w:sz w:val="22"/>
              </w:rPr>
              <w:t>~$15.99B FY</w:t>
            </w:r>
          </w:p>
        </w:tc>
        <w:tc>
          <w:tcPr>
            <w:tcW w:type="dxa" w:w="1234"/>
          </w:tcPr>
          <w:p>
            <w:r>
              <w:rPr>
                <w:rFonts w:ascii="Calibri" w:hAnsi="Calibri"/>
                <w:sz w:val="22"/>
              </w:rPr>
              <w:t>Tracking FY est.</w:t>
            </w:r>
          </w:p>
        </w:tc>
      </w:tr>
      <w:tr>
        <w:tc>
          <w:tcPr>
            <w:tcW w:type="dxa" w:w="1234"/>
          </w:tcPr>
          <w:p>
            <w:r>
              <w:rPr>
                <w:rFonts w:ascii="Calibri" w:hAnsi="Calibri"/>
                <w:sz w:val="22"/>
              </w:rPr>
              <w:t>EPS — Diluted Operating ($/sh)</w:t>
            </w:r>
          </w:p>
        </w:tc>
        <w:tc>
          <w:tcPr>
            <w:tcW w:type="dxa" w:w="1234"/>
          </w:tcPr>
          <w:p>
            <w:r>
              <w:rPr>
                <w:rFonts w:ascii="Calibri" w:hAnsi="Calibri"/>
                <w:sz w:val="22"/>
              </w:rPr>
              <w:t>−$0.76 (incl. $2.8B Netflix fee)</w:t>
            </w:r>
          </w:p>
        </w:tc>
        <w:tc>
          <w:tcPr>
            <w:tcW w:type="dxa" w:w="1234"/>
          </w:tcPr>
          <w:p>
            <w:r>
              <w:rPr>
                <w:rFonts w:ascii="Calibri" w:hAnsi="Calibri"/>
                <w:sz w:val="22"/>
              </w:rPr>
              <w:t>$0.63</w:t>
            </w:r>
          </w:p>
        </w:tc>
        <w:tc>
          <w:tcPr>
            <w:tcW w:type="dxa" w:w="1234"/>
          </w:tcPr>
          <w:p>
            <w:r>
              <w:rPr>
                <w:rFonts w:ascii="Calibri" w:hAnsi="Calibri"/>
                <w:sz w:val="22"/>
              </w:rPr>
              <w:t>−$0.07</w:t>
            </w:r>
          </w:p>
        </w:tc>
        <w:tc>
          <w:tcPr>
            <w:tcW w:type="dxa" w:w="1234"/>
          </w:tcPr>
          <w:p>
            <w:r>
              <w:rPr>
                <w:rFonts w:ascii="Calibri" w:hAnsi="Calibri"/>
                <w:sz w:val="22"/>
              </w:rPr>
              <w:t>NM</w:t>
            </w:r>
          </w:p>
        </w:tc>
        <w:tc>
          <w:tcPr>
            <w:tcW w:type="dxa" w:w="1234"/>
          </w:tcPr>
          <w:p>
            <w:r>
              <w:rPr>
                <w:rFonts w:ascii="Calibri" w:hAnsi="Calibri"/>
                <w:sz w:val="22"/>
              </w:rPr>
              <w:t>−$0.37 FY est.</w:t>
            </w:r>
          </w:p>
        </w:tc>
        <w:tc>
          <w:tcPr>
            <w:tcW w:type="dxa" w:w="1234"/>
          </w:tcPr>
          <w:p>
            <w:r>
              <w:rPr>
                <w:rFonts w:ascii="Calibri" w:hAnsi="Calibri"/>
                <w:sz w:val="22"/>
              </w:rPr>
              <w:t>N/A (loss year)</w:t>
            </w:r>
          </w:p>
        </w:tc>
      </w:tr>
      <w:tr>
        <w:tc>
          <w:tcPr>
            <w:tcW w:type="dxa" w:w="1234"/>
          </w:tcPr>
          <w:p>
            <w:r>
              <w:rPr>
                <w:rFonts w:ascii="Calibri" w:hAnsi="Calibri"/>
                <w:sz w:val="22"/>
              </w:rPr>
              <w:t>Free Cash Flow ($M)</w:t>
            </w:r>
          </w:p>
        </w:tc>
        <w:tc>
          <w:tcPr>
            <w:tcW w:type="dxa" w:w="1234"/>
          </w:tcPr>
          <w:p>
            <w:r>
              <w:rPr>
                <w:rFonts w:ascii="Calibri" w:hAnsi="Calibri"/>
                <w:sz w:val="22"/>
              </w:rPr>
              <w:t>−$476M</w:t>
            </w:r>
          </w:p>
        </w:tc>
        <w:tc>
          <w:tcPr>
            <w:tcW w:type="dxa" w:w="1234"/>
          </w:tcPr>
          <w:p>
            <w:r>
              <w:rPr>
                <w:rFonts w:ascii="Calibri" w:hAnsi="Calibri"/>
                <w:sz w:val="22"/>
              </w:rPr>
              <w:t>$702M</w:t>
            </w:r>
          </w:p>
        </w:tc>
        <w:tc>
          <w:tcPr>
            <w:tcW w:type="dxa" w:w="1234"/>
          </w:tcPr>
          <w:p>
            <w:r>
              <w:rPr>
                <w:rFonts w:ascii="Calibri" w:hAnsi="Calibri"/>
                <w:sz w:val="22"/>
              </w:rPr>
              <w:t>$724M</w:t>
            </w:r>
          </w:p>
        </w:tc>
        <w:tc>
          <w:tcPr>
            <w:tcW w:type="dxa" w:w="1234"/>
          </w:tcPr>
          <w:p>
            <w:r>
              <w:rPr>
                <w:rFonts w:ascii="Calibri" w:hAnsi="Calibri"/>
                <w:sz w:val="22"/>
              </w:rPr>
              <w:t>+3.1%</w:t>
            </w:r>
          </w:p>
        </w:tc>
        <w:tc>
          <w:tcPr>
            <w:tcW w:type="dxa" w:w="1234"/>
          </w:tcPr>
          <w:p>
            <w:r>
              <w:rPr>
                <w:rFonts w:ascii="Calibri" w:hAnsi="Calibri"/>
                <w:sz w:val="22"/>
              </w:rPr>
              <w:t>~$2.79B FY</w:t>
            </w:r>
          </w:p>
        </w:tc>
        <w:tc>
          <w:tcPr>
            <w:tcW w:type="dxa" w:w="1234"/>
          </w:tcPr>
          <w:p>
            <w:r>
              <w:rPr>
                <w:rFonts w:ascii="Calibri" w:hAnsi="Calibri"/>
                <w:sz w:val="22"/>
              </w:rPr>
              <w:t>Tracking FY est.</w:t>
            </w:r>
          </w:p>
        </w:tc>
      </w:tr>
      <w:tr>
        <w:tc>
          <w:tcPr>
            <w:tcW w:type="dxa" w:w="1234"/>
          </w:tcPr>
          <w:p>
            <w:r>
              <w:rPr>
                <w:rFonts w:ascii="Calibri" w:hAnsi="Calibri"/>
                <w:sz w:val="22"/>
              </w:rPr>
              <w:t>Global Subs — HBO &amp; Discovery+ (M)</w:t>
            </w:r>
          </w:p>
        </w:tc>
        <w:tc>
          <w:tcPr>
            <w:tcW w:type="dxa" w:w="1234"/>
          </w:tcPr>
          <w:p>
            <w:r>
              <w:rPr>
                <w:rFonts w:ascii="Calibri" w:hAnsi="Calibri"/>
                <w:sz w:val="22"/>
              </w:rPr>
              <w:t>142.2M (exceeded &gt;140M guide)</w:t>
            </w:r>
          </w:p>
        </w:tc>
        <w:tc>
          <w:tcPr>
            <w:tcW w:type="dxa" w:w="1234"/>
          </w:tcPr>
          <w:p>
            <w:r>
              <w:rPr>
                <w:rFonts w:ascii="Calibri" w:hAnsi="Calibri"/>
                <w:sz w:val="22"/>
              </w:rPr>
              <w:t>125.7M</w:t>
            </w:r>
          </w:p>
        </w:tc>
        <w:tc>
          <w:tcPr>
            <w:tcW w:type="dxa" w:w="1234"/>
          </w:tcPr>
          <w:p>
            <w:r>
              <w:rPr>
                <w:rFonts w:ascii="Calibri" w:hAnsi="Calibri"/>
                <w:sz w:val="22"/>
              </w:rPr>
              <w:t>147.0M</w:t>
            </w:r>
          </w:p>
        </w:tc>
        <w:tc>
          <w:tcPr>
            <w:tcW w:type="dxa" w:w="1234"/>
          </w:tcPr>
          <w:p>
            <w:r>
              <w:rPr>
                <w:rFonts w:ascii="Calibri" w:hAnsi="Calibri"/>
                <w:sz w:val="22"/>
              </w:rPr>
              <w:t>+16.9%</w:t>
            </w:r>
          </w:p>
        </w:tc>
        <w:tc>
          <w:tcPr>
            <w:tcW w:type="dxa" w:w="1234"/>
          </w:tcPr>
          <w:p>
            <w:r>
              <w:rPr>
                <w:rFonts w:ascii="Calibri" w:hAnsi="Calibri"/>
                <w:sz w:val="22"/>
              </w:rPr>
              <w:t>&gt;150M by year-end</w:t>
            </w:r>
          </w:p>
        </w:tc>
        <w:tc>
          <w:tcPr>
            <w:tcW w:type="dxa" w:w="1234"/>
          </w:tcPr>
          <w:p>
            <w:r>
              <w:rPr>
                <w:rFonts w:ascii="Calibri" w:hAnsi="Calibri"/>
                <w:sz w:val="22"/>
              </w:rPr>
              <w:t>On track vs. &gt;150M guide</w:t>
            </w:r>
          </w:p>
        </w:tc>
      </w:tr>
    </w:tbl>
    <w:p>
      <w:r>
        <w:rPr>
          <w:rFonts w:ascii="Calibri" w:hAnsi="Calibri"/>
          <w:i/>
          <w:color w:val="525866"/>
          <w:sz w:val="22"/>
        </w:rPr>
        <w:t>Source: Visible Alpha Consensus and Actuals Data; WBD Q1 2026 Earnings Release (May 6, 2026). Note: WBD stopped reporting quarterly subscriber and ARPU data beginning Q1 2026; subscriber-related revenue growth is now the primary streaming scale metric. Q2 2026 actuals not yet reported.</w:t>
      </w:r>
    </w:p>
    <w:p>
      <w:pPr>
        <w:pStyle w:val="Heading3"/>
      </w:pPr>
      <w:r>
        <w:rPr>
          <w:rFonts w:ascii="Calibri" w:hAnsi="Calibri"/>
          <w:b/>
          <w:color w:val="3B4259"/>
          <w:sz w:val="24"/>
        </w:rPr>
        <w:t>Table 2 — Beat/Miss History (Last 8 Quarters, Top 2 KPIs: Total Revenue &amp; Adj. EBITDA)</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$8.893B</w:t>
            </w:r>
          </w:p>
        </w:tc>
        <w:tc>
          <w:tcPr>
            <w:tcW w:type="dxa" w:w="1440"/>
          </w:tcPr>
          <w:p>
            <w:r>
              <w:rPr>
                <w:rFonts w:ascii="Calibri" w:hAnsi="Calibri"/>
                <w:sz w:val="22"/>
              </w:rPr>
              <w:t>$8.903B</w:t>
            </w:r>
          </w:p>
        </w:tc>
        <w:tc>
          <w:tcPr>
            <w:tcW w:type="dxa" w:w="1440"/>
          </w:tcPr>
          <w:p>
            <w:r>
              <w:rPr>
                <w:rFonts w:ascii="Calibri" w:hAnsi="Calibri"/>
                <w:sz w:val="22"/>
              </w:rPr>
              <w:t>−0.1%</w:t>
            </w:r>
          </w:p>
        </w:tc>
        <w:tc>
          <w:tcPr>
            <w:tcW w:type="dxa" w:w="1440"/>
          </w:tcPr>
          <w:p>
            <w:r>
              <w:rPr>
                <w:rFonts w:ascii="Calibri" w:hAnsi="Calibri"/>
                <w:sz w:val="22"/>
              </w:rPr>
              <w:t>In-Line</w:t>
            </w:r>
          </w:p>
        </w:tc>
      </w:tr>
      <w:tr>
        <w:tc>
          <w:tcPr>
            <w:tcW w:type="dxa" w:w="1440"/>
          </w:tcPr>
          <w:p>
            <w:r>
              <w:rPr>
                <w:rFonts w:ascii="Calibri" w:hAnsi="Calibri"/>
                <w:sz w:val="22"/>
              </w:rPr>
              <w:t>Q1 2026</w:t>
            </w:r>
          </w:p>
        </w:tc>
        <w:tc>
          <w:tcPr>
            <w:tcW w:type="dxa" w:w="1440"/>
          </w:tcPr>
          <w:p>
            <w:r>
              <w:rPr>
                <w:rFonts w:ascii="Calibri" w:hAnsi="Calibri"/>
                <w:sz w:val="22"/>
              </w:rPr>
              <w:t>Adj. EBITDA</w:t>
            </w:r>
          </w:p>
        </w:tc>
        <w:tc>
          <w:tcPr>
            <w:tcW w:type="dxa" w:w="1440"/>
          </w:tcPr>
          <w:p>
            <w:r>
              <w:rPr>
                <w:rFonts w:ascii="Calibri" w:hAnsi="Calibri"/>
                <w:sz w:val="22"/>
              </w:rPr>
              <w:t>$2.203B</w:t>
            </w:r>
          </w:p>
        </w:tc>
        <w:tc>
          <w:tcPr>
            <w:tcW w:type="dxa" w:w="1440"/>
          </w:tcPr>
          <w:p>
            <w:r>
              <w:rPr>
                <w:rFonts w:ascii="Calibri" w:hAnsi="Calibri"/>
                <w:sz w:val="22"/>
              </w:rPr>
              <w:t>$1.972B</w:t>
            </w:r>
          </w:p>
        </w:tc>
        <w:tc>
          <w:tcPr>
            <w:tcW w:type="dxa" w:w="1440"/>
          </w:tcPr>
          <w:p>
            <w:r>
              <w:rPr>
                <w:rFonts w:ascii="Calibri" w:hAnsi="Calibri"/>
                <w:sz w:val="22"/>
              </w:rPr>
              <w:t>+11.7%</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$9.460B</w:t>
            </w:r>
          </w:p>
        </w:tc>
        <w:tc>
          <w:tcPr>
            <w:tcW w:type="dxa" w:w="1440"/>
          </w:tcPr>
          <w:p>
            <w:r>
              <w:rPr>
                <w:rFonts w:ascii="Calibri" w:hAnsi="Calibri"/>
                <w:sz w:val="22"/>
              </w:rPr>
              <w:t>$9.426B</w:t>
            </w:r>
          </w:p>
        </w:tc>
        <w:tc>
          <w:tcPr>
            <w:tcW w:type="dxa" w:w="1440"/>
          </w:tcPr>
          <w:p>
            <w:r>
              <w:rPr>
                <w:rFonts w:ascii="Calibri" w:hAnsi="Calibri"/>
                <w:sz w:val="22"/>
              </w:rPr>
              <w:t>+0.4%</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EBITDA</w:t>
            </w:r>
          </w:p>
        </w:tc>
        <w:tc>
          <w:tcPr>
            <w:tcW w:type="dxa" w:w="1440"/>
          </w:tcPr>
          <w:p>
            <w:r>
              <w:rPr>
                <w:rFonts w:ascii="Calibri" w:hAnsi="Calibri"/>
                <w:sz w:val="22"/>
              </w:rPr>
              <w:t>$2.216B</w:t>
            </w:r>
          </w:p>
        </w:tc>
        <w:tc>
          <w:tcPr>
            <w:tcW w:type="dxa" w:w="1440"/>
          </w:tcPr>
          <w:p>
            <w:r>
              <w:rPr>
                <w:rFonts w:ascii="Calibri" w:hAnsi="Calibri"/>
                <w:sz w:val="22"/>
              </w:rPr>
              <w:t>$2.190B</w:t>
            </w:r>
          </w:p>
        </w:tc>
        <w:tc>
          <w:tcPr>
            <w:tcW w:type="dxa" w:w="1440"/>
          </w:tcPr>
          <w:p>
            <w:r>
              <w:rPr>
                <w:rFonts w:ascii="Calibri" w:hAnsi="Calibri"/>
                <w:sz w:val="22"/>
              </w:rPr>
              <w:t>+1.2%</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$9.045B</w:t>
            </w:r>
          </w:p>
        </w:tc>
        <w:tc>
          <w:tcPr>
            <w:tcW w:type="dxa" w:w="1440"/>
          </w:tcPr>
          <w:p>
            <w:r>
              <w:rPr>
                <w:rFonts w:ascii="Calibri" w:hAnsi="Calibri"/>
                <w:sz w:val="22"/>
              </w:rPr>
              <w:t>$9.211B</w:t>
            </w:r>
          </w:p>
        </w:tc>
        <w:tc>
          <w:tcPr>
            <w:tcW w:type="dxa" w:w="1440"/>
          </w:tcPr>
          <w:p>
            <w:r>
              <w:rPr>
                <w:rFonts w:ascii="Calibri" w:hAnsi="Calibri"/>
                <w:sz w:val="22"/>
              </w:rPr>
              <w:t>−1.8%</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Adj. EBITDA</w:t>
            </w:r>
          </w:p>
        </w:tc>
        <w:tc>
          <w:tcPr>
            <w:tcW w:type="dxa" w:w="1440"/>
          </w:tcPr>
          <w:p>
            <w:r>
              <w:rPr>
                <w:rFonts w:ascii="Calibri" w:hAnsi="Calibri"/>
                <w:sz w:val="22"/>
              </w:rPr>
              <w:t>$2.470B</w:t>
            </w:r>
          </w:p>
        </w:tc>
        <w:tc>
          <w:tcPr>
            <w:tcW w:type="dxa" w:w="1440"/>
          </w:tcPr>
          <w:p>
            <w:r>
              <w:rPr>
                <w:rFonts w:ascii="Calibri" w:hAnsi="Calibri"/>
                <w:sz w:val="22"/>
              </w:rPr>
              <w:t>$2.225B</w:t>
            </w:r>
          </w:p>
        </w:tc>
        <w:tc>
          <w:tcPr>
            <w:tcW w:type="dxa" w:w="1440"/>
          </w:tcPr>
          <w:p>
            <w:r>
              <w:rPr>
                <w:rFonts w:ascii="Calibri" w:hAnsi="Calibri"/>
                <w:sz w:val="22"/>
              </w:rPr>
              <w:t>+11.0%</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$9.812B</w:t>
            </w:r>
          </w:p>
        </w:tc>
        <w:tc>
          <w:tcPr>
            <w:tcW w:type="dxa" w:w="1440"/>
          </w:tcPr>
          <w:p>
            <w:r>
              <w:rPr>
                <w:rFonts w:ascii="Calibri" w:hAnsi="Calibri"/>
                <w:sz w:val="22"/>
              </w:rPr>
              <w:t>$9.851B</w:t>
            </w:r>
          </w:p>
        </w:tc>
        <w:tc>
          <w:tcPr>
            <w:tcW w:type="dxa" w:w="1440"/>
          </w:tcPr>
          <w:p>
            <w:r>
              <w:rPr>
                <w:rFonts w:ascii="Calibri" w:hAnsi="Calibri"/>
                <w:sz w:val="22"/>
              </w:rPr>
              <w:t>−0.4%</w:t>
            </w:r>
          </w:p>
        </w:tc>
        <w:tc>
          <w:tcPr>
            <w:tcW w:type="dxa" w:w="1440"/>
          </w:tcPr>
          <w:p>
            <w:r>
              <w:rPr>
                <w:rFonts w:ascii="Calibri" w:hAnsi="Calibri"/>
                <w:sz w:val="22"/>
              </w:rPr>
              <w:t>In-Line</w:t>
            </w:r>
          </w:p>
        </w:tc>
      </w:tr>
      <w:tr>
        <w:tc>
          <w:tcPr>
            <w:tcW w:type="dxa" w:w="1440"/>
          </w:tcPr>
          <w:p>
            <w:r>
              <w:rPr>
                <w:rFonts w:ascii="Calibri" w:hAnsi="Calibri"/>
                <w:sz w:val="22"/>
              </w:rPr>
              <w:t>Q2 2025</w:t>
            </w:r>
          </w:p>
        </w:tc>
        <w:tc>
          <w:tcPr>
            <w:tcW w:type="dxa" w:w="1440"/>
          </w:tcPr>
          <w:p>
            <w:r>
              <w:rPr>
                <w:rFonts w:ascii="Calibri" w:hAnsi="Calibri"/>
                <w:sz w:val="22"/>
              </w:rPr>
              <w:t>Adj. EBITDA</w:t>
            </w:r>
          </w:p>
        </w:tc>
        <w:tc>
          <w:tcPr>
            <w:tcW w:type="dxa" w:w="1440"/>
          </w:tcPr>
          <w:p>
            <w:r>
              <w:rPr>
                <w:rFonts w:ascii="Calibri" w:hAnsi="Calibri"/>
                <w:sz w:val="22"/>
              </w:rPr>
              <w:t>$1.953B</w:t>
            </w:r>
          </w:p>
        </w:tc>
        <w:tc>
          <w:tcPr>
            <w:tcW w:type="dxa" w:w="1440"/>
          </w:tcPr>
          <w:p>
            <w:r>
              <w:rPr>
                <w:rFonts w:ascii="Calibri" w:hAnsi="Calibri"/>
                <w:sz w:val="22"/>
              </w:rPr>
              <w:t>$1.836B</w:t>
            </w:r>
          </w:p>
        </w:tc>
        <w:tc>
          <w:tcPr>
            <w:tcW w:type="dxa" w:w="1440"/>
          </w:tcPr>
          <w:p>
            <w:r>
              <w:rPr>
                <w:rFonts w:ascii="Calibri" w:hAnsi="Calibri"/>
                <w:sz w:val="22"/>
              </w:rPr>
              <w:t>+6.4%</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Total Revenue</w:t>
            </w:r>
          </w:p>
        </w:tc>
        <w:tc>
          <w:tcPr>
            <w:tcW w:type="dxa" w:w="1440"/>
          </w:tcPr>
          <w:p>
            <w:r>
              <w:rPr>
                <w:rFonts w:ascii="Calibri" w:hAnsi="Calibri"/>
                <w:sz w:val="22"/>
              </w:rPr>
              <w:t>$8.979B</w:t>
            </w:r>
          </w:p>
        </w:tc>
        <w:tc>
          <w:tcPr>
            <w:tcW w:type="dxa" w:w="1440"/>
          </w:tcPr>
          <w:p>
            <w:r>
              <w:rPr>
                <w:rFonts w:ascii="Calibri" w:hAnsi="Calibri"/>
                <w:sz w:val="22"/>
              </w:rPr>
              <w:t>$9.555B</w:t>
            </w:r>
          </w:p>
        </w:tc>
        <w:tc>
          <w:tcPr>
            <w:tcW w:type="dxa" w:w="1440"/>
          </w:tcPr>
          <w:p>
            <w:r>
              <w:rPr>
                <w:rFonts w:ascii="Calibri" w:hAnsi="Calibri"/>
                <w:sz w:val="22"/>
              </w:rPr>
              <w:t>−6.0%</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Adj. EBITDA</w:t>
            </w:r>
          </w:p>
        </w:tc>
        <w:tc>
          <w:tcPr>
            <w:tcW w:type="dxa" w:w="1440"/>
          </w:tcPr>
          <w:p>
            <w:r>
              <w:rPr>
                <w:rFonts w:ascii="Calibri" w:hAnsi="Calibri"/>
                <w:sz w:val="22"/>
              </w:rPr>
              <w:t>$2.105B</w:t>
            </w:r>
          </w:p>
        </w:tc>
        <w:tc>
          <w:tcPr>
            <w:tcW w:type="dxa" w:w="1440"/>
          </w:tcPr>
          <w:p>
            <w:r>
              <w:rPr>
                <w:rFonts w:ascii="Calibri" w:hAnsi="Calibri"/>
                <w:sz w:val="22"/>
              </w:rPr>
              <w:t>$2.035B</w:t>
            </w:r>
          </w:p>
        </w:tc>
        <w:tc>
          <w:tcPr>
            <w:tcW w:type="dxa" w:w="1440"/>
          </w:tcPr>
          <w:p>
            <w:r>
              <w:rPr>
                <w:rFonts w:ascii="Calibri" w:hAnsi="Calibri"/>
                <w:sz w:val="22"/>
              </w:rPr>
              <w:t>+3.4%</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Total Revenue</w:t>
            </w:r>
          </w:p>
        </w:tc>
        <w:tc>
          <w:tcPr>
            <w:tcW w:type="dxa" w:w="1440"/>
          </w:tcPr>
          <w:p>
            <w:r>
              <w:rPr>
                <w:rFonts w:ascii="Calibri" w:hAnsi="Calibri"/>
                <w:sz w:val="22"/>
              </w:rPr>
              <w:t>$10.027B</w:t>
            </w:r>
          </w:p>
        </w:tc>
        <w:tc>
          <w:tcPr>
            <w:tcW w:type="dxa" w:w="1440"/>
          </w:tcPr>
          <w:p>
            <w:r>
              <w:rPr>
                <w:rFonts w:ascii="Calibri" w:hAnsi="Calibri"/>
                <w:sz w:val="22"/>
              </w:rPr>
              <w:t>$10.222B</w:t>
            </w:r>
          </w:p>
        </w:tc>
        <w:tc>
          <w:tcPr>
            <w:tcW w:type="dxa" w:w="1440"/>
          </w:tcPr>
          <w:p>
            <w:r>
              <w:rPr>
                <w:rFonts w:ascii="Calibri" w:hAnsi="Calibri"/>
                <w:sz w:val="22"/>
              </w:rPr>
              <w:t>−1.9%</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Adj. EBITDA</w:t>
            </w:r>
          </w:p>
        </w:tc>
        <w:tc>
          <w:tcPr>
            <w:tcW w:type="dxa" w:w="1440"/>
          </w:tcPr>
          <w:p>
            <w:r>
              <w:rPr>
                <w:rFonts w:ascii="Calibri" w:hAnsi="Calibri"/>
                <w:sz w:val="22"/>
              </w:rPr>
              <w:t>$2.722B</w:t>
            </w:r>
          </w:p>
        </w:tc>
        <w:tc>
          <w:tcPr>
            <w:tcW w:type="dxa" w:w="1440"/>
          </w:tcPr>
          <w:p>
            <w:r>
              <w:rPr>
                <w:rFonts w:ascii="Calibri" w:hAnsi="Calibri"/>
                <w:sz w:val="22"/>
              </w:rPr>
              <w:t>$2.681B</w:t>
            </w:r>
          </w:p>
        </w:tc>
        <w:tc>
          <w:tcPr>
            <w:tcW w:type="dxa" w:w="1440"/>
          </w:tcPr>
          <w:p>
            <w:r>
              <w:rPr>
                <w:rFonts w:ascii="Calibri" w:hAnsi="Calibri"/>
                <w:sz w:val="22"/>
              </w:rPr>
              <w:t>+1.5%</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Total Revenue</w:t>
            </w:r>
          </w:p>
        </w:tc>
        <w:tc>
          <w:tcPr>
            <w:tcW w:type="dxa" w:w="1440"/>
          </w:tcPr>
          <w:p>
            <w:r>
              <w:rPr>
                <w:rFonts w:ascii="Calibri" w:hAnsi="Calibri"/>
                <w:sz w:val="22"/>
              </w:rPr>
              <w:t>$9.623B</w:t>
            </w:r>
          </w:p>
        </w:tc>
        <w:tc>
          <w:tcPr>
            <w:tcW w:type="dxa" w:w="1440"/>
          </w:tcPr>
          <w:p>
            <w:r>
              <w:rPr>
                <w:rFonts w:ascii="Calibri" w:hAnsi="Calibri"/>
                <w:sz w:val="22"/>
              </w:rPr>
              <w:t>$9.830B</w:t>
            </w:r>
          </w:p>
        </w:tc>
        <w:tc>
          <w:tcPr>
            <w:tcW w:type="dxa" w:w="1440"/>
          </w:tcPr>
          <w:p>
            <w:r>
              <w:rPr>
                <w:rFonts w:ascii="Calibri" w:hAnsi="Calibri"/>
                <w:sz w:val="22"/>
              </w:rPr>
              <w:t>−2.1%</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Adj. EBITDA</w:t>
            </w:r>
          </w:p>
        </w:tc>
        <w:tc>
          <w:tcPr>
            <w:tcW w:type="dxa" w:w="1440"/>
          </w:tcPr>
          <w:p>
            <w:r>
              <w:rPr>
                <w:rFonts w:ascii="Calibri" w:hAnsi="Calibri"/>
                <w:sz w:val="22"/>
              </w:rPr>
              <w:t>$2.413B</w:t>
            </w:r>
          </w:p>
        </w:tc>
        <w:tc>
          <w:tcPr>
            <w:tcW w:type="dxa" w:w="1440"/>
          </w:tcPr>
          <w:p>
            <w:r>
              <w:rPr>
                <w:rFonts w:ascii="Calibri" w:hAnsi="Calibri"/>
                <w:sz w:val="22"/>
              </w:rPr>
              <w:t>$2.425B</w:t>
            </w:r>
          </w:p>
        </w:tc>
        <w:tc>
          <w:tcPr>
            <w:tcW w:type="dxa" w:w="1440"/>
          </w:tcPr>
          <w:p>
            <w:r>
              <w:rPr>
                <w:rFonts w:ascii="Calibri" w:hAnsi="Calibri"/>
                <w:sz w:val="22"/>
              </w:rPr>
              <w:t>−0.5%</w:t>
            </w:r>
          </w:p>
        </w:tc>
        <w:tc>
          <w:tcPr>
            <w:tcW w:type="dxa" w:w="1440"/>
          </w:tcPr>
          <w:p>
            <w:r>
              <w:rPr>
                <w:rFonts w:ascii="Calibri" w:hAnsi="Calibri"/>
                <w:sz w:val="22"/>
              </w:rPr>
              <w:t>In-Line</w:t>
            </w:r>
          </w:p>
        </w:tc>
      </w:tr>
    </w:tbl>
    <w:p>
      <w:r>
        <w:rPr>
          <w:rFonts w:ascii="Calibri" w:hAnsi="Calibri"/>
          <w:b/>
          <w:color w:val="525866"/>
          <w:sz w:val="22"/>
        </w:rPr>
        <w:t xml:space="preserve">Pattern: </w:t>
      </w:r>
      <w:r>
        <w:rPr>
          <w:rFonts w:ascii="Calibri" w:hAnsi="Calibri"/>
          <w:i/>
          <w:color w:val="525866"/>
          <w:sz w:val="22"/>
        </w:rPr>
        <w:t>WBD has beaten or matched Adj. EBITDA consensus in 7 of the last 8 quarters, suggesting the Street consistently under-models cost discipline; revenue, however, has missed in 4 of 8 quarters, reflecting ongoing linear network pressure.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Management's last formal guidance was issued on the Q1 2026 call (May 6, 2026). No post-earnings guidance revisions have been issued via 8-K or conference. The tone was </w:t>
      </w:r>
      <w:r>
        <w:rPr>
          <w:rFonts w:ascii="Calibri" w:hAnsi="Calibri"/>
          <w:b/>
          <w:color w:val="525866"/>
          <w:sz w:val="22"/>
        </w:rPr>
        <w:t>unambiguously bullish on streaming</w:t>
      </w:r>
      <w:r>
        <w:rPr>
          <w:rFonts w:ascii="Calibri" w:hAnsi="Calibri"/>
          <w:color w:val="525866"/>
          <w:sz w:val="22"/>
        </w:rPr>
        <w:t xml:space="preserve"> and cautiously optimistic on studios, while deliberately vague on linear networks.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May 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Global Subscribers (FY 2026)</w:t>
            </w:r>
          </w:p>
        </w:tc>
        <w:tc>
          <w:tcPr>
            <w:tcW w:type="dxa" w:w="1728"/>
          </w:tcPr>
          <w:p>
            <w:r>
              <w:rPr>
                <w:rFonts w:ascii="Calibri" w:hAnsi="Calibri"/>
                <w:sz w:val="22"/>
              </w:rPr>
              <w:t>&gt;150M by year-end (raised from &gt;140M)</w:t>
            </w:r>
          </w:p>
        </w:tc>
        <w:tc>
          <w:tcPr>
            <w:tcW w:type="dxa" w:w="1728"/>
          </w:tcPr>
          <w:p>
            <w:r>
              <w:rPr>
                <w:rFonts w:ascii="Calibri" w:hAnsi="Calibri"/>
                <w:sz w:val="22"/>
              </w:rPr>
              <w:t>—</w:t>
            </w:r>
          </w:p>
        </w:tc>
        <w:tc>
          <w:tcPr>
            <w:tcW w:type="dxa" w:w="1728"/>
          </w:tcPr>
          <w:p>
            <w:r>
              <w:rPr>
                <w:rFonts w:ascii="Calibri" w:hAnsi="Calibri"/>
                <w:sz w:val="22"/>
              </w:rPr>
              <w:t>~153M (FY 2026 est.)</w:t>
            </w:r>
          </w:p>
        </w:tc>
        <w:tc>
          <w:tcPr>
            <w:tcW w:type="dxa" w:w="1728"/>
          </w:tcPr>
          <w:p>
            <w:r>
              <w:rPr>
                <w:rFonts w:ascii="Calibri" w:hAnsi="Calibri"/>
                <w:sz w:val="22"/>
              </w:rPr>
              <w:t>Raised at Q1 print; consensus tracking above guide</w:t>
            </w:r>
          </w:p>
        </w:tc>
      </w:tr>
      <w:tr>
        <w:tc>
          <w:tcPr>
            <w:tcW w:type="dxa" w:w="1728"/>
          </w:tcPr>
          <w:p>
            <w:r>
              <w:rPr>
                <w:rFonts w:ascii="Calibri" w:hAnsi="Calibri"/>
                <w:sz w:val="22"/>
              </w:rPr>
              <w:t>Streaming EBITDA (FY 2026)</w:t>
            </w:r>
          </w:p>
        </w:tc>
        <w:tc>
          <w:tcPr>
            <w:tcW w:type="dxa" w:w="1728"/>
          </w:tcPr>
          <w:p>
            <w:r>
              <w:rPr>
                <w:rFonts w:ascii="Calibri" w:hAnsi="Calibri"/>
                <w:sz w:val="22"/>
              </w:rPr>
              <w:t>Profit growth "accelerating" through year; operating leverage "kicking in"</w:t>
            </w:r>
          </w:p>
        </w:tc>
        <w:tc>
          <w:tcPr>
            <w:tcW w:type="dxa" w:w="1728"/>
          </w:tcPr>
          <w:p>
            <w:r>
              <w:rPr>
                <w:rFonts w:ascii="Calibri" w:hAnsi="Calibri"/>
                <w:sz w:val="22"/>
              </w:rPr>
              <w:t>—</w:t>
            </w:r>
          </w:p>
        </w:tc>
        <w:tc>
          <w:tcPr>
            <w:tcW w:type="dxa" w:w="1728"/>
          </w:tcPr>
          <w:p>
            <w:r>
              <w:rPr>
                <w:rFonts w:ascii="Calibri" w:hAnsi="Calibri"/>
                <w:sz w:val="22"/>
              </w:rPr>
              <w:t>~$1.87B FY 2026</w:t>
            </w:r>
          </w:p>
        </w:tc>
        <w:tc>
          <w:tcPr>
            <w:tcW w:type="dxa" w:w="1728"/>
          </w:tcPr>
          <w:p>
            <w:r>
              <w:rPr>
                <w:rFonts w:ascii="Calibri" w:hAnsi="Calibri"/>
                <w:sz w:val="22"/>
              </w:rPr>
              <w:t>No specific $ guide; tone very bullish; consensus tracking prior-year trajectory</w:t>
            </w:r>
          </w:p>
        </w:tc>
      </w:tr>
      <w:tr>
        <w:tc>
          <w:tcPr>
            <w:tcW w:type="dxa" w:w="1728"/>
          </w:tcPr>
          <w:p>
            <w:r>
              <w:rPr>
                <w:rFonts w:ascii="Calibri" w:hAnsi="Calibri"/>
                <w:sz w:val="22"/>
              </w:rPr>
              <w:t>Studios EBITDA (Normalized)</w:t>
            </w:r>
          </w:p>
        </w:tc>
        <w:tc>
          <w:tcPr>
            <w:tcW w:type="dxa" w:w="1728"/>
          </w:tcPr>
          <w:p>
            <w:r>
              <w:rPr>
                <w:rFonts w:ascii="Calibri" w:hAnsi="Calibri"/>
                <w:sz w:val="22"/>
              </w:rPr>
              <w:t>≥$3.0B normalized annual target; 14 films in 2026, up to 18 in 2027</w:t>
            </w:r>
          </w:p>
        </w:tc>
        <w:tc>
          <w:tcPr>
            <w:tcW w:type="dxa" w:w="1728"/>
          </w:tcPr>
          <w:p>
            <w:r>
              <w:rPr>
                <w:rFonts w:ascii="Calibri" w:hAnsi="Calibri"/>
                <w:sz w:val="22"/>
              </w:rPr>
              <w:t>—</w:t>
            </w:r>
          </w:p>
        </w:tc>
        <w:tc>
          <w:tcPr>
            <w:tcW w:type="dxa" w:w="1728"/>
          </w:tcPr>
          <w:p>
            <w:r>
              <w:rPr>
                <w:rFonts w:ascii="Calibri" w:hAnsi="Calibri"/>
                <w:sz w:val="22"/>
              </w:rPr>
              <w:t>~$2.57B FY 2026</w:t>
            </w:r>
          </w:p>
        </w:tc>
        <w:tc>
          <w:tcPr>
            <w:tcW w:type="dxa" w:w="1728"/>
          </w:tcPr>
          <w:p>
            <w:r>
              <w:rPr>
                <w:rFonts w:ascii="Calibri" w:hAnsi="Calibri"/>
                <w:sz w:val="22"/>
              </w:rPr>
              <w:t>Consensus below $3B target; Q2 studios EBITDA expected to step down sharply from Q1's $775M</w:t>
            </w:r>
          </w:p>
        </w:tc>
      </w:tr>
      <w:tr>
        <w:tc>
          <w:tcPr>
            <w:tcW w:type="dxa" w:w="1728"/>
          </w:tcPr>
          <w:p>
            <w:r>
              <w:rPr>
                <w:rFonts w:ascii="Calibri" w:hAnsi="Calibri"/>
                <w:sz w:val="22"/>
              </w:rPr>
              <w:t>Total Adj. EBITDA (FY 2026)</w:t>
            </w:r>
          </w:p>
        </w:tc>
        <w:tc>
          <w:tcPr>
            <w:tcW w:type="dxa" w:w="1728"/>
          </w:tcPr>
          <w:p>
            <w:r>
              <w:rPr>
                <w:rFonts w:ascii="Calibri" w:hAnsi="Calibri"/>
                <w:sz w:val="22"/>
              </w:rPr>
              <w:t>No specific FY EBITDA guide; streaming + studios growth to offset linear declines</w:t>
            </w:r>
          </w:p>
        </w:tc>
        <w:tc>
          <w:tcPr>
            <w:tcW w:type="dxa" w:w="1728"/>
          </w:tcPr>
          <w:p>
            <w:r>
              <w:rPr>
                <w:rFonts w:ascii="Calibri" w:hAnsi="Calibri"/>
                <w:sz w:val="22"/>
              </w:rPr>
              <w:t>—</w:t>
            </w:r>
          </w:p>
        </w:tc>
        <w:tc>
          <w:tcPr>
            <w:tcW w:type="dxa" w:w="1728"/>
          </w:tcPr>
          <w:p>
            <w:r>
              <w:rPr>
                <w:rFonts w:ascii="Calibri" w:hAnsi="Calibri"/>
                <w:sz w:val="22"/>
              </w:rPr>
              <w:t>~$8.38B FY 2026</w:t>
            </w:r>
          </w:p>
        </w:tc>
        <w:tc>
          <w:tcPr>
            <w:tcW w:type="dxa" w:w="1728"/>
          </w:tcPr>
          <w:p>
            <w:r>
              <w:rPr>
                <w:rFonts w:ascii="Calibri" w:hAnsi="Calibri"/>
                <w:sz w:val="22"/>
              </w:rPr>
              <w:t>Consensus implies modest YoY growth; linear headwinds remain the key offset</w:t>
            </w:r>
          </w:p>
        </w:tc>
      </w:tr>
      <w:tr>
        <w:tc>
          <w:tcPr>
            <w:tcW w:type="dxa" w:w="1728"/>
          </w:tcPr>
          <w:p>
            <w:r>
              <w:rPr>
                <w:rFonts w:ascii="Calibri" w:hAnsi="Calibri"/>
                <w:sz w:val="22"/>
              </w:rPr>
              <w:t>Free Cash Flow (FY 2026)</w:t>
            </w:r>
          </w:p>
        </w:tc>
        <w:tc>
          <w:tcPr>
            <w:tcW w:type="dxa" w:w="1728"/>
          </w:tcPr>
          <w:p>
            <w:r>
              <w:rPr>
                <w:rFonts w:ascii="Calibri" w:hAnsi="Calibri"/>
                <w:sz w:val="22"/>
              </w:rPr>
              <w:t>Separation/transaction costs ~$100M in Q1; similar full-year impact expected as in 2025</w:t>
            </w:r>
          </w:p>
        </w:tc>
        <w:tc>
          <w:tcPr>
            <w:tcW w:type="dxa" w:w="1728"/>
          </w:tcPr>
          <w:p>
            <w:r>
              <w:rPr>
                <w:rFonts w:ascii="Calibri" w:hAnsi="Calibri"/>
                <w:sz w:val="22"/>
              </w:rPr>
              <w:t>—</w:t>
            </w:r>
          </w:p>
        </w:tc>
        <w:tc>
          <w:tcPr>
            <w:tcW w:type="dxa" w:w="1728"/>
          </w:tcPr>
          <w:p>
            <w:r>
              <w:rPr>
                <w:rFonts w:ascii="Calibri" w:hAnsi="Calibri"/>
                <w:sz w:val="22"/>
              </w:rPr>
              <w:t>~$2.79B FY 2026</w:t>
            </w:r>
          </w:p>
        </w:tc>
        <w:tc>
          <w:tcPr>
            <w:tcW w:type="dxa" w:w="1728"/>
          </w:tcPr>
          <w:p>
            <w:r>
              <w:rPr>
                <w:rFonts w:ascii="Calibri" w:hAnsi="Calibri"/>
                <w:sz w:val="22"/>
              </w:rPr>
              <w:t>Advisory fees, bridge interest, tax leakage to continue weighing on FCF through 2026</w:t>
            </w:r>
          </w:p>
        </w:tc>
      </w:tr>
      <w:tr>
        <w:tc>
          <w:tcPr>
            <w:tcW w:type="dxa" w:w="1728"/>
          </w:tcPr>
          <w:p>
            <w:r>
              <w:rPr>
                <w:rFonts w:ascii="Calibri" w:hAnsi="Calibri"/>
                <w:sz w:val="22"/>
              </w:rPr>
              <w:t>Subscriber-Related Revenue Growth (Q2+)</w:t>
            </w:r>
          </w:p>
        </w:tc>
        <w:tc>
          <w:tcPr>
            <w:tcW w:type="dxa" w:w="1728"/>
          </w:tcPr>
          <w:p>
            <w:r>
              <w:rPr>
                <w:rFonts w:ascii="Calibri" w:hAnsi="Calibri"/>
                <w:sz w:val="22"/>
              </w:rPr>
              <w:t>"Will pick up real pace in Q2 and through the rest of the year"</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Key Q2 watch item; management's most explicit forward commitment</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modestly lower since the Q1 print on both EBITDA and EPS, while revenue estimates are roughly stable. The </w:t>
      </w:r>
      <w:r>
        <w:rPr>
          <w:rFonts w:ascii="Calibri" w:hAnsi="Calibri"/>
          <w:b/>
          <w:color w:val="525866"/>
          <w:sz w:val="22"/>
        </w:rPr>
        <w:t>EPS revision is the most notable move</w:t>
      </w:r>
      <w:r>
        <w:rPr>
          <w:rFonts w:ascii="Calibri" w:hAnsi="Calibri"/>
          <w:color w:val="525866"/>
          <w:sz w:val="22"/>
        </w:rPr>
        <w:t xml:space="preserve"> — Q2 2026 EPS consensus fell from −$0.07 to −$0.07 (flat), but FY 2026 EPS moved from −$0.26 to −$0.37, reflecting ongoing deal-related cost drag. Streaming EBITDA estimates are tracking in line with management's bullish tone.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Print (May 13, 2026)</w:t>
            </w:r>
          </w:p>
        </w:tc>
        <w:tc>
          <w:tcPr>
            <w:tcW w:type="dxa" w:w="1080"/>
            <w:shd w:val="clear" w:color="auto" w:fill="3B4259"/>
          </w:tcPr>
          <w:p>
            <w:r>
              <w:rPr>
                <w:rFonts w:ascii="Calibri" w:hAnsi="Calibri"/>
                <w:b/>
                <w:color w:val="FFFFFF"/>
                <w:sz w:val="22"/>
              </w:rPr>
              <w:t>Current Consensus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Total Revenue — Q2 2026</w:t>
            </w:r>
          </w:p>
        </w:tc>
        <w:tc>
          <w:tcPr>
            <w:tcW w:type="dxa" w:w="1080"/>
          </w:tcPr>
          <w:p>
            <w:r>
              <w:rPr>
                <w:rFonts w:ascii="Calibri" w:hAnsi="Calibri"/>
                <w:sz w:val="22"/>
              </w:rPr>
              <w:t>$9.167B</w:t>
            </w:r>
          </w:p>
        </w:tc>
        <w:tc>
          <w:tcPr>
            <w:tcW w:type="dxa" w:w="1080"/>
          </w:tcPr>
          <w:p>
            <w:r>
              <w:rPr>
                <w:rFonts w:ascii="Calibri" w:hAnsi="Calibri"/>
                <w:sz w:val="22"/>
              </w:rPr>
              <w:t>$9.180B</w:t>
            </w:r>
          </w:p>
        </w:tc>
        <w:tc>
          <w:tcPr>
            <w:tcW w:type="dxa" w:w="1080"/>
          </w:tcPr>
          <w:p>
            <w:r>
              <w:rPr>
                <w:rFonts w:ascii="Calibri" w:hAnsi="Calibri"/>
                <w:sz w:val="22"/>
              </w:rPr>
              <w:t>+0.1%</w:t>
            </w:r>
          </w:p>
        </w:tc>
        <w:tc>
          <w:tcPr>
            <w:tcW w:type="dxa" w:w="1080"/>
          </w:tcPr>
          <w:p>
            <w:r>
              <w:rPr>
                <w:rFonts w:ascii="Calibri" w:hAnsi="Calibri"/>
                <w:sz w:val="22"/>
              </w:rPr>
              <w:t>No specific Q2 guide</w:t>
            </w:r>
          </w:p>
        </w:tc>
        <w:tc>
          <w:tcPr>
            <w:tcW w:type="dxa" w:w="1080"/>
          </w:tcPr>
          <w:p>
            <w:r>
              <w:rPr>
                <w:rFonts w:ascii="Calibri" w:hAnsi="Calibri"/>
                <w:sz w:val="22"/>
              </w:rPr>
              <w:t>No change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$36.882B</w:t>
            </w:r>
          </w:p>
        </w:tc>
        <w:tc>
          <w:tcPr>
            <w:tcW w:type="dxa" w:w="1080"/>
          </w:tcPr>
          <w:p>
            <w:r>
              <w:rPr>
                <w:rFonts w:ascii="Calibri" w:hAnsi="Calibri"/>
                <w:sz w:val="22"/>
              </w:rPr>
              <w:t>$36.819B</w:t>
            </w:r>
          </w:p>
        </w:tc>
        <w:tc>
          <w:tcPr>
            <w:tcW w:type="dxa" w:w="1080"/>
          </w:tcPr>
          <w:p>
            <w:r>
              <w:rPr>
                <w:rFonts w:ascii="Calibri" w:hAnsi="Calibri"/>
                <w:sz w:val="22"/>
              </w:rPr>
              <w:t>−0.2%</w:t>
            </w:r>
          </w:p>
        </w:tc>
        <w:tc>
          <w:tcPr>
            <w:tcW w:type="dxa" w:w="1080"/>
          </w:tcPr>
          <w:p>
            <w:r>
              <w:rPr>
                <w:rFonts w:ascii="Calibri" w:hAnsi="Calibri"/>
                <w:sz w:val="22"/>
              </w:rPr>
              <w:t>No specific FY guide</w:t>
            </w:r>
          </w:p>
        </w:tc>
        <w:tc>
          <w:tcPr>
            <w:tcW w:type="dxa" w:w="1080"/>
          </w:tcPr>
          <w:p>
            <w:r>
              <w:rPr>
                <w:rFonts w:ascii="Calibri" w:hAnsi="Calibri"/>
                <w:sz w:val="22"/>
              </w:rPr>
              <w:t>No change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EBITDA — Q2 2026</w:t>
            </w:r>
          </w:p>
        </w:tc>
        <w:tc>
          <w:tcPr>
            <w:tcW w:type="dxa" w:w="1080"/>
          </w:tcPr>
          <w:p>
            <w:r>
              <w:rPr>
                <w:rFonts w:ascii="Calibri" w:hAnsi="Calibri"/>
                <w:sz w:val="22"/>
              </w:rPr>
              <w:t>$1.911B</w:t>
            </w:r>
          </w:p>
        </w:tc>
        <w:tc>
          <w:tcPr>
            <w:tcW w:type="dxa" w:w="1080"/>
          </w:tcPr>
          <w:p>
            <w:r>
              <w:rPr>
                <w:rFonts w:ascii="Calibri" w:hAnsi="Calibri"/>
                <w:sz w:val="22"/>
              </w:rPr>
              <w:t>$1.843B</w:t>
            </w:r>
          </w:p>
        </w:tc>
        <w:tc>
          <w:tcPr>
            <w:tcW w:type="dxa" w:w="1080"/>
          </w:tcPr>
          <w:p>
            <w:r>
              <w:rPr>
                <w:rFonts w:ascii="Calibri" w:hAnsi="Calibri"/>
                <w:sz w:val="22"/>
              </w:rPr>
              <w:t>−3.6%</w:t>
            </w:r>
          </w:p>
        </w:tc>
        <w:tc>
          <w:tcPr>
            <w:tcW w:type="dxa" w:w="1080"/>
          </w:tcPr>
          <w:p>
            <w:r>
              <w:rPr>
                <w:rFonts w:ascii="Calibri" w:hAnsi="Calibri"/>
                <w:sz w:val="22"/>
              </w:rPr>
              <w:t>No specific Q2 guide</w:t>
            </w:r>
          </w:p>
        </w:tc>
        <w:tc>
          <w:tcPr>
            <w:tcW w:type="dxa" w:w="1080"/>
          </w:tcPr>
          <w:p>
            <w:r>
              <w:rPr>
                <w:rFonts w:ascii="Calibri" w:hAnsi="Calibri"/>
                <w:sz w:val="22"/>
              </w:rPr>
              <w:t>No change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EBITDA — FY 2026</w:t>
            </w:r>
          </w:p>
        </w:tc>
        <w:tc>
          <w:tcPr>
            <w:tcW w:type="dxa" w:w="1080"/>
          </w:tcPr>
          <w:p>
            <w:r>
              <w:rPr>
                <w:rFonts w:ascii="Calibri" w:hAnsi="Calibri"/>
                <w:sz w:val="22"/>
              </w:rPr>
              <w:t>$8.402B</w:t>
            </w:r>
          </w:p>
        </w:tc>
        <w:tc>
          <w:tcPr>
            <w:tcW w:type="dxa" w:w="1080"/>
          </w:tcPr>
          <w:p>
            <w:r>
              <w:rPr>
                <w:rFonts w:ascii="Calibri" w:hAnsi="Calibri"/>
                <w:sz w:val="22"/>
              </w:rPr>
              <w:t>$8.382B</w:t>
            </w:r>
          </w:p>
        </w:tc>
        <w:tc>
          <w:tcPr>
            <w:tcW w:type="dxa" w:w="1080"/>
          </w:tcPr>
          <w:p>
            <w:r>
              <w:rPr>
                <w:rFonts w:ascii="Calibri" w:hAnsi="Calibri"/>
                <w:sz w:val="22"/>
              </w:rPr>
              <w:t>−0.2%</w:t>
            </w:r>
          </w:p>
        </w:tc>
        <w:tc>
          <w:tcPr>
            <w:tcW w:type="dxa" w:w="1080"/>
          </w:tcPr>
          <w:p>
            <w:r>
              <w:rPr>
                <w:rFonts w:ascii="Calibri" w:hAnsi="Calibri"/>
                <w:sz w:val="22"/>
              </w:rPr>
              <w:t>Streaming + studios growth to offset linear declines</w:t>
            </w:r>
          </w:p>
        </w:tc>
        <w:tc>
          <w:tcPr>
            <w:tcW w:type="dxa" w:w="1080"/>
          </w:tcPr>
          <w:p>
            <w:r>
              <w:rPr>
                <w:rFonts w:ascii="Calibri" w:hAnsi="Calibri"/>
                <w:sz w:val="22"/>
              </w:rPr>
              <w:t>No change</w:t>
            </w:r>
          </w:p>
        </w:tc>
        <w:tc>
          <w:tcPr>
            <w:tcW w:type="dxa" w:w="1080"/>
          </w:tcPr>
          <w:p>
            <w:r>
              <w:rPr>
                <w:rFonts w:ascii="Calibri" w:hAnsi="Calibri"/>
                <w:sz w:val="22"/>
              </w:rPr>
              <w:t>—</w:t>
            </w:r>
          </w:p>
        </w:tc>
        <w:tc>
          <w:tcPr>
            <w:tcW w:type="dxa" w:w="1080"/>
          </w:tcPr>
          <w:p>
            <w:r>
              <w:rPr>
                <w:rFonts w:ascii="Calibri" w:hAnsi="Calibri"/>
                <w:sz w:val="22"/>
              </w:rPr>
              <w:t>Tracking guidance direction</w:t>
            </w:r>
          </w:p>
        </w:tc>
      </w:tr>
      <w:tr>
        <w:tc>
          <w:tcPr>
            <w:tcW w:type="dxa" w:w="1080"/>
          </w:tcPr>
          <w:p>
            <w:r>
              <w:rPr>
                <w:rFonts w:ascii="Calibri" w:hAnsi="Calibri"/>
                <w:sz w:val="22"/>
              </w:rPr>
              <w:t>Streaming EBITDA — Q2 2026</w:t>
            </w:r>
          </w:p>
        </w:tc>
        <w:tc>
          <w:tcPr>
            <w:tcW w:type="dxa" w:w="1080"/>
          </w:tcPr>
          <w:p>
            <w:r>
              <w:rPr>
                <w:rFonts w:ascii="Calibri" w:hAnsi="Calibri"/>
                <w:sz w:val="22"/>
              </w:rPr>
              <w:t>$381M</w:t>
            </w:r>
          </w:p>
        </w:tc>
        <w:tc>
          <w:tcPr>
            <w:tcW w:type="dxa" w:w="1080"/>
          </w:tcPr>
          <w:p>
            <w:r>
              <w:rPr>
                <w:rFonts w:ascii="Calibri" w:hAnsi="Calibri"/>
                <w:sz w:val="22"/>
              </w:rPr>
              <w:t>$382M</w:t>
            </w:r>
          </w:p>
        </w:tc>
        <w:tc>
          <w:tcPr>
            <w:tcW w:type="dxa" w:w="1080"/>
          </w:tcPr>
          <w:p>
            <w:r>
              <w:rPr>
                <w:rFonts w:ascii="Calibri" w:hAnsi="Calibri"/>
                <w:sz w:val="22"/>
              </w:rPr>
              <w:t>+0.3%</w:t>
            </w:r>
          </w:p>
        </w:tc>
        <w:tc>
          <w:tcPr>
            <w:tcW w:type="dxa" w:w="1080"/>
          </w:tcPr>
          <w:p>
            <w:r>
              <w:rPr>
                <w:rFonts w:ascii="Calibri" w:hAnsi="Calibri"/>
                <w:sz w:val="22"/>
              </w:rPr>
              <w:t>Profit growth "accelerating" through year</w:t>
            </w:r>
          </w:p>
        </w:tc>
        <w:tc>
          <w:tcPr>
            <w:tcW w:type="dxa" w:w="1080"/>
          </w:tcPr>
          <w:p>
            <w:r>
              <w:rPr>
                <w:rFonts w:ascii="Calibri" w:hAnsi="Calibri"/>
                <w:sz w:val="22"/>
              </w:rPr>
              <w:t>No change</w:t>
            </w:r>
          </w:p>
        </w:tc>
        <w:tc>
          <w:tcPr>
            <w:tcW w:type="dxa" w:w="1080"/>
          </w:tcPr>
          <w:p>
            <w:r>
              <w:rPr>
                <w:rFonts w:ascii="Calibri" w:hAnsi="Calibri"/>
                <w:sz w:val="22"/>
              </w:rPr>
              <w:t>—</w:t>
            </w:r>
          </w:p>
        </w:tc>
        <w:tc>
          <w:tcPr>
            <w:tcW w:type="dxa" w:w="1080"/>
          </w:tcPr>
          <w:p>
            <w:r>
              <w:rPr>
                <w:rFonts w:ascii="Calibri" w:hAnsi="Calibri"/>
                <w:sz w:val="22"/>
              </w:rPr>
              <w:t>Tracking bullish tone</w:t>
            </w:r>
          </w:p>
        </w:tc>
      </w:tr>
      <w:tr>
        <w:tc>
          <w:tcPr>
            <w:tcW w:type="dxa" w:w="1080"/>
          </w:tcPr>
          <w:p>
            <w:r>
              <w:rPr>
                <w:rFonts w:ascii="Calibri" w:hAnsi="Calibri"/>
                <w:sz w:val="22"/>
              </w:rPr>
              <w:t>Streaming EBITDA — FY 2026</w:t>
            </w:r>
          </w:p>
        </w:tc>
        <w:tc>
          <w:tcPr>
            <w:tcW w:type="dxa" w:w="1080"/>
          </w:tcPr>
          <w:p>
            <w:r>
              <w:rPr>
                <w:rFonts w:ascii="Calibri" w:hAnsi="Calibri"/>
                <w:sz w:val="22"/>
              </w:rPr>
              <w:t>$1.877B</w:t>
            </w:r>
          </w:p>
        </w:tc>
        <w:tc>
          <w:tcPr>
            <w:tcW w:type="dxa" w:w="1080"/>
          </w:tcPr>
          <w:p>
            <w:r>
              <w:rPr>
                <w:rFonts w:ascii="Calibri" w:hAnsi="Calibri"/>
                <w:sz w:val="22"/>
              </w:rPr>
              <w:t>$1.874B</w:t>
            </w:r>
          </w:p>
        </w:tc>
        <w:tc>
          <w:tcPr>
            <w:tcW w:type="dxa" w:w="1080"/>
          </w:tcPr>
          <w:p>
            <w:r>
              <w:rPr>
                <w:rFonts w:ascii="Calibri" w:hAnsi="Calibri"/>
                <w:sz w:val="22"/>
              </w:rPr>
              <w:t>−0.2%</w:t>
            </w:r>
          </w:p>
        </w:tc>
        <w:tc>
          <w:tcPr>
            <w:tcW w:type="dxa" w:w="1080"/>
          </w:tcPr>
          <w:p>
            <w:r>
              <w:rPr>
                <w:rFonts w:ascii="Calibri" w:hAnsi="Calibri"/>
                <w:sz w:val="22"/>
              </w:rPr>
              <w:t>Operating leverage accelerating</w:t>
            </w:r>
          </w:p>
        </w:tc>
        <w:tc>
          <w:tcPr>
            <w:tcW w:type="dxa" w:w="1080"/>
          </w:tcPr>
          <w:p>
            <w:r>
              <w:rPr>
                <w:rFonts w:ascii="Calibri" w:hAnsi="Calibri"/>
                <w:sz w:val="22"/>
              </w:rPr>
              <w:t>No change</w:t>
            </w:r>
          </w:p>
        </w:tc>
        <w:tc>
          <w:tcPr>
            <w:tcW w:type="dxa" w:w="1080"/>
          </w:tcPr>
          <w:p>
            <w:r>
              <w:rPr>
                <w:rFonts w:ascii="Calibri" w:hAnsi="Calibri"/>
                <w:sz w:val="22"/>
              </w:rPr>
              <w:t>—</w:t>
            </w:r>
          </w:p>
        </w:tc>
        <w:tc>
          <w:tcPr>
            <w:tcW w:type="dxa" w:w="1080"/>
          </w:tcPr>
          <w:p>
            <w:r>
              <w:rPr>
                <w:rFonts w:ascii="Calibri" w:hAnsi="Calibri"/>
                <w:sz w:val="22"/>
              </w:rPr>
              <w:t>Tracking guidance</w:t>
            </w:r>
          </w:p>
        </w:tc>
      </w:tr>
      <w:tr>
        <w:tc>
          <w:tcPr>
            <w:tcW w:type="dxa" w:w="1080"/>
          </w:tcPr>
          <w:p>
            <w:r>
              <w:rPr>
                <w:rFonts w:ascii="Calibri" w:hAnsi="Calibri"/>
                <w:sz w:val="22"/>
              </w:rPr>
              <w:t>EPS (Diluted Operating) — Q2 2026</w:t>
            </w:r>
          </w:p>
        </w:tc>
        <w:tc>
          <w:tcPr>
            <w:tcW w:type="dxa" w:w="1080"/>
          </w:tcPr>
          <w:p>
            <w:r>
              <w:rPr>
                <w:rFonts w:ascii="Calibri" w:hAnsi="Calibri"/>
                <w:sz w:val="22"/>
              </w:rPr>
              <w:t>−$0.067</w:t>
            </w:r>
          </w:p>
        </w:tc>
        <w:tc>
          <w:tcPr>
            <w:tcW w:type="dxa" w:w="1080"/>
          </w:tcPr>
          <w:p>
            <w:r>
              <w:rPr>
                <w:rFonts w:ascii="Calibri" w:hAnsi="Calibri"/>
                <w:sz w:val="22"/>
              </w:rPr>
              <w:t>−$0.074</w:t>
            </w:r>
          </w:p>
        </w:tc>
        <w:tc>
          <w:tcPr>
            <w:tcW w:type="dxa" w:w="1080"/>
          </w:tcPr>
          <w:p>
            <w:r>
              <w:rPr>
                <w:rFonts w:ascii="Calibri" w:hAnsi="Calibri"/>
                <w:sz w:val="22"/>
              </w:rPr>
              <w:t>−9.9%</w:t>
            </w:r>
          </w:p>
        </w:tc>
        <w:tc>
          <w:tcPr>
            <w:tcW w:type="dxa" w:w="1080"/>
          </w:tcPr>
          <w:p>
            <w:r>
              <w:rPr>
                <w:rFonts w:ascii="Calibri" w:hAnsi="Calibri"/>
                <w:sz w:val="22"/>
              </w:rPr>
              <w:t>No specific EPS guide</w:t>
            </w:r>
          </w:p>
        </w:tc>
        <w:tc>
          <w:tcPr>
            <w:tcW w:type="dxa" w:w="1080"/>
          </w:tcPr>
          <w:p>
            <w:r>
              <w:rPr>
                <w:rFonts w:ascii="Calibri" w:hAnsi="Calibri"/>
                <w:sz w:val="22"/>
              </w:rPr>
              <w:t>No change</w:t>
            </w:r>
          </w:p>
        </w:tc>
        <w:tc>
          <w:tcPr>
            <w:tcW w:type="dxa" w:w="1080"/>
          </w:tcPr>
          <w:p>
            <w:r>
              <w:rPr>
                <w:rFonts w:ascii="Calibri" w:hAnsi="Calibri"/>
                <w:sz w:val="22"/>
              </w:rPr>
              <w:t>—</w:t>
            </w:r>
          </w:p>
        </w:tc>
        <w:tc>
          <w:tcPr>
            <w:tcW w:type="dxa" w:w="1080"/>
          </w:tcPr>
          <w:p>
            <w:r>
              <w:rPr>
                <w:rFonts w:ascii="Calibri" w:hAnsi="Calibri"/>
                <w:sz w:val="22"/>
              </w:rPr>
              <w:t>N/A (loss year)</w:t>
            </w:r>
          </w:p>
        </w:tc>
      </w:tr>
      <w:tr>
        <w:tc>
          <w:tcPr>
            <w:tcW w:type="dxa" w:w="1080"/>
          </w:tcPr>
          <w:p>
            <w:r>
              <w:rPr>
                <w:rFonts w:ascii="Calibri" w:hAnsi="Calibri"/>
                <w:sz w:val="22"/>
              </w:rPr>
              <w:t>EPS (Diluted Operating) — FY 2026</w:t>
            </w:r>
          </w:p>
        </w:tc>
        <w:tc>
          <w:tcPr>
            <w:tcW w:type="dxa" w:w="1080"/>
          </w:tcPr>
          <w:p>
            <w:r>
              <w:rPr>
                <w:rFonts w:ascii="Calibri" w:hAnsi="Calibri"/>
                <w:sz w:val="22"/>
              </w:rPr>
              <w:t>−$0.258</w:t>
            </w:r>
          </w:p>
        </w:tc>
        <w:tc>
          <w:tcPr>
            <w:tcW w:type="dxa" w:w="1080"/>
          </w:tcPr>
          <w:p>
            <w:r>
              <w:rPr>
                <w:rFonts w:ascii="Calibri" w:hAnsi="Calibri"/>
                <w:sz w:val="22"/>
              </w:rPr>
              <w:t>−$0.369</w:t>
            </w:r>
          </w:p>
        </w:tc>
        <w:tc>
          <w:tcPr>
            <w:tcW w:type="dxa" w:w="1080"/>
          </w:tcPr>
          <w:p>
            <w:r>
              <w:rPr>
                <w:rFonts w:ascii="Calibri" w:hAnsi="Calibri"/>
                <w:sz w:val="22"/>
              </w:rPr>
              <w:t>−43.0%</w:t>
            </w:r>
          </w:p>
        </w:tc>
        <w:tc>
          <w:tcPr>
            <w:tcW w:type="dxa" w:w="1080"/>
          </w:tcPr>
          <w:p>
            <w:r>
              <w:rPr>
                <w:rFonts w:ascii="Calibri" w:hAnsi="Calibri"/>
                <w:sz w:val="22"/>
              </w:rPr>
              <w:t>No specific EPS guide</w:t>
            </w:r>
          </w:p>
        </w:tc>
        <w:tc>
          <w:tcPr>
            <w:tcW w:type="dxa" w:w="1080"/>
          </w:tcPr>
          <w:p>
            <w:r>
              <w:rPr>
                <w:rFonts w:ascii="Calibri" w:hAnsi="Calibri"/>
                <w:sz w:val="22"/>
              </w:rPr>
              <w:t>No change</w:t>
            </w:r>
          </w:p>
        </w:tc>
        <w:tc>
          <w:tcPr>
            <w:tcW w:type="dxa" w:w="1080"/>
          </w:tcPr>
          <w:p>
            <w:r>
              <w:rPr>
                <w:rFonts w:ascii="Calibri" w:hAnsi="Calibri"/>
                <w:sz w:val="22"/>
              </w:rPr>
              <w:t>—</w:t>
            </w:r>
          </w:p>
        </w:tc>
        <w:tc>
          <w:tcPr>
            <w:tcW w:type="dxa" w:w="1080"/>
          </w:tcPr>
          <w:p>
            <w:r>
              <w:rPr>
                <w:rFonts w:ascii="Calibri" w:hAnsi="Calibri"/>
                <w:sz w:val="22"/>
              </w:rPr>
              <w:t>N/A (loss year)</w:t>
            </w:r>
          </w:p>
        </w:tc>
      </w:tr>
      <w:tr>
        <w:tc>
          <w:tcPr>
            <w:tcW w:type="dxa" w:w="1080"/>
          </w:tcPr>
          <w:p>
            <w:r>
              <w:rPr>
                <w:rFonts w:ascii="Calibri" w:hAnsi="Calibri"/>
                <w:sz w:val="22"/>
              </w:rPr>
              <w:t>Global Subs — FY 2026</w:t>
            </w:r>
          </w:p>
        </w:tc>
        <w:tc>
          <w:tcPr>
            <w:tcW w:type="dxa" w:w="1080"/>
          </w:tcPr>
          <w:p>
            <w:r>
              <w:rPr>
                <w:rFonts w:ascii="Calibri" w:hAnsi="Calibri"/>
                <w:sz w:val="22"/>
              </w:rPr>
              <w:t>~154M</w:t>
            </w:r>
          </w:p>
        </w:tc>
        <w:tc>
          <w:tcPr>
            <w:tcW w:type="dxa" w:w="1080"/>
          </w:tcPr>
          <w:p>
            <w:r>
              <w:rPr>
                <w:rFonts w:ascii="Calibri" w:hAnsi="Calibri"/>
                <w:sz w:val="22"/>
              </w:rPr>
              <w:t>~153M</w:t>
            </w:r>
          </w:p>
        </w:tc>
        <w:tc>
          <w:tcPr>
            <w:tcW w:type="dxa" w:w="1080"/>
          </w:tcPr>
          <w:p>
            <w:r>
              <w:rPr>
                <w:rFonts w:ascii="Calibri" w:hAnsi="Calibri"/>
                <w:sz w:val="22"/>
              </w:rPr>
              <w:t>−0.6%</w:t>
            </w:r>
          </w:p>
        </w:tc>
        <w:tc>
          <w:tcPr>
            <w:tcW w:type="dxa" w:w="1080"/>
          </w:tcPr>
          <w:p>
            <w:r>
              <w:rPr>
                <w:rFonts w:ascii="Calibri" w:hAnsi="Calibri"/>
                <w:sz w:val="22"/>
              </w:rPr>
              <w:t>&gt;150M by year-end</w:t>
            </w:r>
          </w:p>
        </w:tc>
        <w:tc>
          <w:tcPr>
            <w:tcW w:type="dxa" w:w="1080"/>
          </w:tcPr>
          <w:p>
            <w:r>
              <w:rPr>
                <w:rFonts w:ascii="Calibri" w:hAnsi="Calibri"/>
                <w:sz w:val="22"/>
              </w:rPr>
              <w:t>No change</w:t>
            </w:r>
          </w:p>
        </w:tc>
        <w:tc>
          <w:tcPr>
            <w:tcW w:type="dxa" w:w="1080"/>
          </w:tcPr>
          <w:p>
            <w:r>
              <w:rPr>
                <w:rFonts w:ascii="Calibri" w:hAnsi="Calibri"/>
                <w:sz w:val="22"/>
              </w:rPr>
              <w:t>—</w:t>
            </w:r>
          </w:p>
        </w:tc>
        <w:tc>
          <w:tcPr>
            <w:tcW w:type="dxa" w:w="1080"/>
          </w:tcPr>
          <w:p>
            <w:r>
              <w:rPr>
                <w:rFonts w:ascii="Calibri" w:hAnsi="Calibri"/>
                <w:sz w:val="22"/>
              </w:rPr>
              <w:t>Consensus above guide floor</w:t>
            </w:r>
          </w:p>
        </w:tc>
      </w:tr>
    </w:tbl>
    <w:p>
      <w:r>
        <w:rPr>
          <w:rFonts w:ascii="Calibri" w:hAnsi="Calibri"/>
          <w:i/>
          <w:color w:val="525866"/>
          <w:sz w:val="22"/>
        </w:rPr>
        <w:t>Source: Visible Alpha Consensus and Actuals Data. The FY 2026 EPS revision (−43%) is the most notable move since Q1 and reflects ongoing deal-related cost drag (advisory fees, bridge interest, tax leakage) that management flagged will continue through 2026. Streaming EBITDA and subscriber estimates are stable and tracking management's bullish tone, suggesting the Street believes the operational story but is discounting the financial noise from the M&amp;A process.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WBD has underperformed both the S&amp;P 500 (+4.9%) and the XLC Communication Services ETF (−5.5%) since the Q1 print, declining ~4.5%. The underperformance is driven almost entirely by </w:t>
      </w:r>
      <w:r>
        <w:rPr>
          <w:rFonts w:ascii="Calibri" w:hAnsi="Calibri"/>
          <w:b/>
          <w:color w:val="525866"/>
          <w:sz w:val="22"/>
        </w:rPr>
        <w:t>M&amp;A/legal risk</w:t>
      </w:r>
      <w:r>
        <w:rPr>
          <w:rFonts w:ascii="Calibri" w:hAnsi="Calibri"/>
          <w:color w:val="525866"/>
          <w:sz w:val="22"/>
        </w:rPr>
        <w:t xml:space="preserve"> — not estimate revisions or multiple compression — as the July 24 court-ordered pause on the Paramount merger sent the stock to its lowest level since the deal was announced.</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WBD vs. XLC (Communication Services ETF) vs. S&amp;P 500 — Indexed to 100 at Q1 2026 Earnings (May 6, 2026). WBD: −4.5% | XLC: −5.5% | S&amp;P 500: +4.9%. Key events marked: (1) June 12 — Shareholders reject executive compensation; (2) July 22 — EU conditional approval of Paramount deal; (3) July 24 — Federal judge pauses merger, deal delayed to June 2027. Source: Yahoo Finance / Stock Price Data.</w:t>
      </w:r>
    </w:p>
    <w:p>
      <w:r>
        <w:rPr>
          <w:rFonts w:ascii="Calibri" w:hAnsi="Calibri"/>
          <w:color w:val="525866"/>
          <w:sz w:val="22"/>
        </w:rPr>
        <w:t>The stock's trajectory since May 6 tells a clear story: WBD traded in a tight $26–$27.50 range through mid-July as the market awaited regulatory clarity, then broke sharply lower on July 24 when a federal judge granted a temporary restraining order pausing the Paramount merger. The stock hit $25.28 on July 27 — its lowest since the deal was announced — implying Barron's-estimated deal odds of just over 50%. A partial recovery to ~$26 followed as California Governor Newsom publicly urged AG Bonta to pursue a settlement. The XLC underperformed the S&amp;P 500 over the same period, partly reflecting Netflix's disappointing Q2 results (July 16), which weighed on the sector. WBD's underperformance vs. XLC is attributable to the idiosyncratic M&amp;A overhang rather than sector-level dynamics.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w:t>
      </w:r>
      <w:r>
        <w:rPr>
          <w:rFonts w:ascii="Calibri" w:hAnsi="Calibri"/>
          <w:b/>
          <w:color w:val="525866"/>
          <w:sz w:val="22"/>
        </w:rPr>
        <w:t>Paramount-WBD merger delay and antitrust litigation</w:t>
      </w:r>
      <w:r>
        <w:rPr>
          <w:rFonts w:ascii="Calibri" w:hAnsi="Calibri"/>
          <w:color w:val="525866"/>
          <w:sz w:val="22"/>
        </w:rPr>
        <w:t xml:space="preserve"> are the dominant developments since Q1 — the deal has been paused until at least June 2027, Wall Street implies ~50/50 odds of completion, and the antitrust trial is now scheduled for March 2027. Operationally, the Barbie sequel and a strong content pipeline are positive signals.</w:t>
      </w:r>
    </w:p>
    <w:p>
      <w:pPr>
        <w:pStyle w:val="ListBullet"/>
        <w:ind w:left="360" w:hanging="360"/>
      </w:pPr>
      <w:r>
        <w:rPr>
          <w:rFonts w:ascii="Calibri" w:hAnsi="Calibri"/>
          <w:b/>
          <w:color w:val="525866"/>
          <w:sz w:val="22"/>
        </w:rPr>
        <w:t>July 24, 2026 — Federal judge pauses Paramount-WBD merger.</w:t>
      </w:r>
      <w:r>
        <w:rPr>
          <w:rFonts w:ascii="Calibri" w:hAnsi="Calibri"/>
          <w:color w:val="525866"/>
          <w:sz w:val="22"/>
        </w:rPr>
        <w:t xml:space="preserve"> A federal court granted a temporary restraining order halting the $110B deal after 12 Democratic state AGs sued on antitrust grounds. Paramount agreed to delay the close until June 1, 2027 (or court resolution, whichever comes first). </w:t>
      </w:r>
    </w:p>
    <w:p>
      <w:pPr>
        <w:pStyle w:val="ListBullet"/>
        <w:ind w:left="360" w:hanging="360"/>
      </w:pPr>
      <w:r>
        <w:rPr>
          <w:rFonts w:ascii="Calibri" w:hAnsi="Calibri"/>
          <w:i/>
          <w:color w:val="525866"/>
          <w:sz w:val="22"/>
        </w:rPr>
        <w:t>Implication:</w:t>
      </w:r>
      <w:r>
        <w:rPr>
          <w:rFonts w:ascii="Calibri" w:hAnsi="Calibri"/>
          <w:color w:val="525866"/>
          <w:sz w:val="22"/>
        </w:rPr>
        <w:t xml:space="preserve"> Stock fell to $25.28 (lowest since deal announcement); Barron's estimates ~50/50 deal odds. WBD receives a $7B breakup fee if the deal fails on regulatory grounds, and Paramount owes ~$650M/quarter in "ticking fees" beginning October 2026.</w:t>
      </w:r>
    </w:p>
    <w:p>
      <w:pPr>
        <w:pStyle w:val="ListBullet"/>
        <w:ind w:left="360" w:hanging="360"/>
      </w:pPr>
      <w:r>
        <w:rPr>
          <w:rFonts w:ascii="Calibri" w:hAnsi="Calibri"/>
          <w:b/>
          <w:color w:val="525866"/>
          <w:sz w:val="22"/>
        </w:rPr>
        <w:t>August 5, 2026 — Antitrust trial set for March 2, 2027.</w:t>
      </w:r>
      <w:r>
        <w:rPr>
          <w:rFonts w:ascii="Calibri" w:hAnsi="Calibri"/>
          <w:color w:val="525866"/>
          <w:sz w:val="22"/>
        </w:rPr>
        <w:t xml:space="preserve"> The trial date was pushed back from a prior November target. </w:t>
      </w:r>
    </w:p>
    <w:p>
      <w:pPr>
        <w:pStyle w:val="ListBullet"/>
        <w:ind w:left="360" w:hanging="360"/>
      </w:pPr>
      <w:r>
        <w:rPr>
          <w:rFonts w:ascii="Calibri" w:hAnsi="Calibri"/>
          <w:i/>
          <w:color w:val="525866"/>
          <w:sz w:val="22"/>
        </w:rPr>
        <w:t>Implication:</w:t>
      </w:r>
      <w:r>
        <w:rPr>
          <w:rFonts w:ascii="Calibri" w:hAnsi="Calibri"/>
          <w:color w:val="525866"/>
          <w:sz w:val="22"/>
        </w:rPr>
        <w:t xml:space="preserve"> Extends the period of uncertainty; deal completion now unlikely before mid-2027 at the earliest.</w:t>
      </w:r>
    </w:p>
    <w:p>
      <w:pPr>
        <w:pStyle w:val="ListBullet"/>
        <w:ind w:left="360" w:hanging="360"/>
      </w:pPr>
      <w:r>
        <w:rPr>
          <w:rFonts w:ascii="Calibri" w:hAnsi="Calibri"/>
          <w:b/>
          <w:color w:val="525866"/>
          <w:sz w:val="22"/>
        </w:rPr>
        <w:t>August 3–4, 2026 — California Governor Newsom urges settlement.</w:t>
      </w:r>
      <w:r>
        <w:rPr>
          <w:rFonts w:ascii="Calibri" w:hAnsi="Calibri"/>
          <w:color w:val="525866"/>
          <w:sz w:val="22"/>
        </w:rPr>
        <w:t xml:space="preserve"> Newsom expressed concerns about the state's lawsuit and encouraged AG Bonta to pursue a settlement with the companies. </w:t>
      </w:r>
    </w:p>
    <w:p>
      <w:pPr>
        <w:pStyle w:val="ListBullet"/>
        <w:ind w:left="360" w:hanging="360"/>
      </w:pPr>
      <w:r>
        <w:rPr>
          <w:rFonts w:ascii="Calibri" w:hAnsi="Calibri"/>
          <w:i/>
          <w:color w:val="525866"/>
          <w:sz w:val="22"/>
        </w:rPr>
        <w:t>Implication:</w:t>
      </w:r>
      <w:r>
        <w:rPr>
          <w:rFonts w:ascii="Calibri" w:hAnsi="Calibri"/>
          <w:color w:val="525866"/>
          <w:sz w:val="22"/>
        </w:rPr>
        <w:t xml:space="preserve"> Positive signal for deal completion; stock partially recovered from July 27 lows. A settlement could close the ~16% gap to the $31 offer price.</w:t>
      </w:r>
    </w:p>
    <w:p>
      <w:pPr>
        <w:pStyle w:val="ListBullet"/>
        <w:ind w:left="360" w:hanging="360"/>
      </w:pPr>
      <w:r>
        <w:rPr>
          <w:rFonts w:ascii="Calibri" w:hAnsi="Calibri"/>
          <w:b/>
          <w:color w:val="525866"/>
          <w:sz w:val="22"/>
        </w:rPr>
        <w:t>August 4, 2026 — David Ellison defends deal in NYT op-ed.</w:t>
      </w:r>
      <w:r>
        <w:rPr>
          <w:rFonts w:ascii="Calibri" w:hAnsi="Calibri"/>
          <w:color w:val="525866"/>
          <w:sz w:val="22"/>
        </w:rPr>
        <w:t xml:space="preserve"> Paramount Skydance CEO argued the fight is about his politics and stewardship of CNN, not market share. TKO CEO Ari Emanuel publicly supported the merger as "needed for the economy of Hollywood." </w:t>
      </w:r>
    </w:p>
    <w:p>
      <w:pPr>
        <w:pStyle w:val="ListBullet"/>
        <w:ind w:left="360" w:hanging="360"/>
      </w:pPr>
      <w:r>
        <w:rPr>
          <w:rFonts w:ascii="Calibri" w:hAnsi="Calibri"/>
          <w:i/>
          <w:color w:val="525866"/>
          <w:sz w:val="22"/>
        </w:rPr>
        <w:t>Implication:</w:t>
      </w:r>
      <w:r>
        <w:rPr>
          <w:rFonts w:ascii="Calibri" w:hAnsi="Calibri"/>
          <w:color w:val="525866"/>
          <w:sz w:val="22"/>
        </w:rPr>
        <w:t xml:space="preserve"> Signals Ellison's commitment to completing the deal; framing the dispute as political rather than competitive may help in settlement negotiations.</w:t>
      </w:r>
    </w:p>
    <w:p>
      <w:pPr>
        <w:pStyle w:val="ListBullet"/>
        <w:ind w:left="360" w:hanging="360"/>
      </w:pPr>
      <w:r>
        <w:rPr>
          <w:rFonts w:ascii="Calibri" w:hAnsi="Calibri"/>
          <w:b/>
          <w:color w:val="525866"/>
          <w:sz w:val="22"/>
        </w:rPr>
        <w:t>July 22, 2026 — EU conditionally approves Paramount-WBD deal.</w:t>
      </w:r>
      <w:r>
        <w:rPr>
          <w:rFonts w:ascii="Calibri" w:hAnsi="Calibri"/>
          <w:color w:val="525866"/>
          <w:sz w:val="22"/>
        </w:rPr>
        <w:t xml:space="preserve"> European Commission granted conditional approval; Paramount agreed to terminate its stake in United International Pictures in the EEA and not co-distribute films with NBCUniversal for 10 years. </w:t>
      </w:r>
    </w:p>
    <w:p>
      <w:pPr>
        <w:pStyle w:val="ListBullet"/>
        <w:ind w:left="360" w:hanging="360"/>
      </w:pPr>
      <w:r>
        <w:rPr>
          <w:rFonts w:ascii="Calibri" w:hAnsi="Calibri"/>
          <w:i/>
          <w:color w:val="525866"/>
          <w:sz w:val="22"/>
        </w:rPr>
        <w:t>Implication:</w:t>
      </w:r>
      <w:r>
        <w:rPr>
          <w:rFonts w:ascii="Calibri" w:hAnsi="Calibri"/>
          <w:color w:val="525866"/>
          <w:sz w:val="22"/>
        </w:rPr>
        <w:t xml:space="preserve"> Removes a key regulatory hurdle; US antitrust litigation remains the primary obstacle.</w:t>
      </w:r>
    </w:p>
    <w:p>
      <w:pPr>
        <w:pStyle w:val="ListBullet"/>
        <w:ind w:left="360" w:hanging="360"/>
      </w:pPr>
      <w:r>
        <w:rPr>
          <w:rFonts w:ascii="Calibri" w:hAnsi="Calibri"/>
          <w:b/>
          <w:color w:val="525866"/>
          <w:sz w:val="22"/>
        </w:rPr>
        <w:t>July 31, 2026 — WBD in talks for Barbie sequel.</w:t>
      </w:r>
      <w:r>
        <w:rPr>
          <w:rFonts w:ascii="Calibri" w:hAnsi="Calibri"/>
          <w:color w:val="525866"/>
          <w:sz w:val="22"/>
        </w:rPr>
        <w:t xml:space="preserve"> The company is working to strike a deal with talent to produce a sequel to the highly successful Barbie film. </w:t>
      </w:r>
    </w:p>
    <w:p>
      <w:pPr>
        <w:pStyle w:val="ListBullet"/>
        <w:ind w:left="360" w:hanging="360"/>
      </w:pPr>
      <w:r>
        <w:rPr>
          <w:rFonts w:ascii="Calibri" w:hAnsi="Calibri"/>
          <w:i/>
          <w:color w:val="525866"/>
          <w:sz w:val="22"/>
        </w:rPr>
        <w:t>Implication:</w:t>
      </w:r>
      <w:r>
        <w:rPr>
          <w:rFonts w:ascii="Calibri" w:hAnsi="Calibri"/>
          <w:color w:val="525866"/>
          <w:sz w:val="22"/>
        </w:rPr>
        <w:t xml:space="preserve"> Positive for studios pipeline and IP monetization; Barbie was one of the highest-grossing films in WBD history.</w:t>
      </w:r>
    </w:p>
    <w:p>
      <w:pPr>
        <w:pStyle w:val="ListBullet"/>
        <w:ind w:left="360" w:hanging="360"/>
      </w:pPr>
      <w:r>
        <w:rPr>
          <w:rFonts w:ascii="Calibri" w:hAnsi="Calibri"/>
          <w:b/>
          <w:color w:val="525866"/>
          <w:sz w:val="22"/>
        </w:rPr>
        <w:t>July 25, 2026 — WBD sues Amazon for executive poaching.</w:t>
      </w:r>
      <w:r>
        <w:rPr>
          <w:rFonts w:ascii="Calibri" w:hAnsi="Calibri"/>
          <w:color w:val="525866"/>
          <w:sz w:val="22"/>
        </w:rPr>
        <w:t xml:space="preserve"> WBD filed a lawsuit accusing Amazon of interference with contractual relations, alleging Amazon recruited HBO Max marketing executive Pia Barlow (contract through October 2027). </w:t>
      </w:r>
    </w:p>
    <w:p>
      <w:pPr>
        <w:pStyle w:val="ListBullet"/>
        <w:ind w:left="360" w:hanging="360"/>
      </w:pPr>
      <w:r>
        <w:rPr>
          <w:rFonts w:ascii="Calibri" w:hAnsi="Calibri"/>
          <w:i/>
          <w:color w:val="525866"/>
          <w:sz w:val="22"/>
        </w:rPr>
        <w:t>Implication:</w:t>
      </w:r>
      <w:r>
        <w:rPr>
          <w:rFonts w:ascii="Calibri" w:hAnsi="Calibri"/>
          <w:color w:val="525866"/>
          <w:sz w:val="22"/>
        </w:rPr>
        <w:t xml:space="preserve"> Minor operational distraction; signals WBD is actively protecting its streaming talent base.</w:t>
      </w:r>
    </w:p>
    <w:p>
      <w:pPr>
        <w:pStyle w:val="ListBullet"/>
        <w:ind w:left="360" w:hanging="360"/>
      </w:pPr>
      <w:r>
        <w:rPr>
          <w:rFonts w:ascii="Calibri" w:hAnsi="Calibri"/>
          <w:b/>
          <w:color w:val="525866"/>
          <w:sz w:val="22"/>
        </w:rPr>
        <w:t>June 12, 2026 — WBD shareholders reject executive compensation.</w:t>
      </w:r>
      <w:r>
        <w:rPr>
          <w:rFonts w:ascii="Calibri" w:hAnsi="Calibri"/>
          <w:color w:val="525866"/>
          <w:sz w:val="22"/>
        </w:rPr>
        <w:t xml:space="preserve"> An 8-K disclosed that shareholders voted against the company's executive pay package. </w:t>
      </w:r>
    </w:p>
    <w:p>
      <w:pPr>
        <w:pStyle w:val="ListBullet"/>
        <w:ind w:left="360" w:hanging="360"/>
      </w:pPr>
      <w:r>
        <w:rPr>
          <w:rFonts w:ascii="Calibri" w:hAnsi="Calibri"/>
          <w:i/>
          <w:color w:val="525866"/>
          <w:sz w:val="22"/>
        </w:rPr>
        <w:t>Implication:</w:t>
      </w:r>
      <w:r>
        <w:rPr>
          <w:rFonts w:ascii="Calibri" w:hAnsi="Calibri"/>
          <w:color w:val="525866"/>
          <w:sz w:val="22"/>
        </w:rPr>
        <w:t xml:space="preserve"> Governance signal; unlikely to affect near-term operations given pending acquisition.</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 xml:space="preserve">The only open-market sale of note is CEO David Zaslav's July 13 sale of ~$2.2M, which was executed under a pre-established 10b5-1 plan — a routine, obligation-driven transaction. All other activity consists of routine director equity awards (Form 4 code "A"). </w:t>
      </w:r>
    </w:p>
    <w:p>
      <w:r>
        <w:rPr>
          <w:rFonts w:ascii="Calibri" w:hAnsi="Calibri"/>
          <w:i/>
          <w:color w:val="525866"/>
          <w:sz w:val="22"/>
        </w:rPr>
        <w:t>No discretionary open-market buys or unusual clustered selling activity. The absence of insider buying at current prices (well below the $31 deal price) is notable but not alarming given the pending acquisition and associated trading restrictions.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David Zaslav</w:t>
            </w:r>
          </w:p>
        </w:tc>
        <w:tc>
          <w:tcPr>
            <w:tcW w:type="dxa" w:w="1440"/>
          </w:tcPr>
          <w:p>
            <w:r>
              <w:rPr>
                <w:rFonts w:ascii="Calibri" w:hAnsi="Calibri"/>
                <w:sz w:val="22"/>
              </w:rPr>
              <w:t>CEO &amp; President</w:t>
            </w:r>
          </w:p>
        </w:tc>
        <w:tc>
          <w:tcPr>
            <w:tcW w:type="dxa" w:w="1440"/>
          </w:tcPr>
          <w:p>
            <w:r>
              <w:rPr>
                <w:rFonts w:ascii="Calibri" w:hAnsi="Calibri"/>
                <w:sz w:val="22"/>
              </w:rPr>
              <w:t>10b5-1 Planned Sale</w:t>
            </w:r>
          </w:p>
        </w:tc>
        <w:tc>
          <w:tcPr>
            <w:tcW w:type="dxa" w:w="1440"/>
          </w:tcPr>
          <w:p>
            <w:r>
              <w:rPr>
                <w:rFonts w:ascii="Calibri" w:hAnsi="Calibri"/>
                <w:sz w:val="22"/>
              </w:rPr>
              <w:t>~$2.18M</w:t>
            </w:r>
          </w:p>
        </w:tc>
        <w:tc>
          <w:tcPr>
            <w:tcW w:type="dxa" w:w="1440"/>
          </w:tcPr>
          <w:p>
            <w:r>
              <w:rPr>
                <w:rFonts w:ascii="Calibri" w:hAnsi="Calibri"/>
                <w:sz w:val="22"/>
              </w:rPr>
              <w:t>Jul 13, 2026</w:t>
            </w:r>
          </w:p>
        </w:tc>
        <w:tc>
          <w:tcPr>
            <w:tcW w:type="dxa" w:w="1440"/>
          </w:tcPr>
          <w:p>
            <w:r>
              <w:rPr>
                <w:rFonts w:ascii="Calibri" w:hAnsi="Calibri"/>
                <w:sz w:val="22"/>
              </w:rPr>
              <w:t>Pre-established 10b5-1 plan; routine/obligation-driven</w:t>
            </w:r>
          </w:p>
        </w:tc>
      </w:tr>
      <w:tr>
        <w:tc>
          <w:tcPr>
            <w:tcW w:type="dxa" w:w="1440"/>
          </w:tcPr>
          <w:p>
            <w:r>
              <w:rPr>
                <w:rFonts w:ascii="Calibri" w:hAnsi="Calibri"/>
                <w:sz w:val="22"/>
              </w:rPr>
              <w:t>David Zaslav</w:t>
            </w:r>
          </w:p>
        </w:tc>
        <w:tc>
          <w:tcPr>
            <w:tcW w:type="dxa" w:w="1440"/>
          </w:tcPr>
          <w:p>
            <w:r>
              <w:rPr>
                <w:rFonts w:ascii="Calibri" w:hAnsi="Calibri"/>
                <w:sz w:val="22"/>
              </w:rPr>
              <w:t>CEO &amp; President</w:t>
            </w:r>
          </w:p>
        </w:tc>
        <w:tc>
          <w:tcPr>
            <w:tcW w:type="dxa" w:w="1440"/>
          </w:tcPr>
          <w:p>
            <w:r>
              <w:rPr>
                <w:rFonts w:ascii="Calibri" w:hAnsi="Calibri"/>
                <w:sz w:val="22"/>
              </w:rPr>
              <w:t>Option Exercise (M)</w:t>
            </w:r>
          </w:p>
        </w:tc>
        <w:tc>
          <w:tcPr>
            <w:tcW w:type="dxa" w:w="1440"/>
          </w:tcPr>
          <w:p>
            <w:r>
              <w:rPr>
                <w:rFonts w:ascii="Calibri" w:hAnsi="Calibri"/>
                <w:sz w:val="22"/>
              </w:rPr>
              <w:t>~$2.09M (notional)</w:t>
            </w:r>
          </w:p>
        </w:tc>
        <w:tc>
          <w:tcPr>
            <w:tcW w:type="dxa" w:w="1440"/>
          </w:tcPr>
          <w:p>
            <w:r>
              <w:rPr>
                <w:rFonts w:ascii="Calibri" w:hAnsi="Calibri"/>
                <w:sz w:val="22"/>
              </w:rPr>
              <w:t>Jul 13, 2026</w:t>
            </w:r>
          </w:p>
        </w:tc>
        <w:tc>
          <w:tcPr>
            <w:tcW w:type="dxa" w:w="1440"/>
          </w:tcPr>
          <w:p>
            <w:r>
              <w:rPr>
                <w:rFonts w:ascii="Calibri" w:hAnsi="Calibri"/>
                <w:sz w:val="22"/>
              </w:rPr>
              <w:t>Employee stock option exercise associated with planned sale</w:t>
            </w:r>
          </w:p>
        </w:tc>
      </w:tr>
      <w:tr>
        <w:tc>
          <w:tcPr>
            <w:tcW w:type="dxa" w:w="1440"/>
          </w:tcPr>
          <w:p>
            <w:r>
              <w:rPr>
                <w:rFonts w:ascii="Calibri" w:hAnsi="Calibri"/>
                <w:sz w:val="22"/>
              </w:rPr>
              <w:t>David Zaslav</w:t>
            </w:r>
          </w:p>
        </w:tc>
        <w:tc>
          <w:tcPr>
            <w:tcW w:type="dxa" w:w="1440"/>
          </w:tcPr>
          <w:p>
            <w:r>
              <w:rPr>
                <w:rFonts w:ascii="Calibri" w:hAnsi="Calibri"/>
                <w:sz w:val="22"/>
              </w:rPr>
              <w:t>CEO &amp; President</w:t>
            </w:r>
          </w:p>
        </w:tc>
        <w:tc>
          <w:tcPr>
            <w:tcW w:type="dxa" w:w="1440"/>
          </w:tcPr>
          <w:p>
            <w:r>
              <w:rPr>
                <w:rFonts w:ascii="Calibri" w:hAnsi="Calibri"/>
                <w:sz w:val="22"/>
              </w:rPr>
              <w:t>Tax Withholding (F)</w:t>
            </w:r>
          </w:p>
        </w:tc>
        <w:tc>
          <w:tcPr>
            <w:tcW w:type="dxa" w:w="1440"/>
          </w:tcPr>
          <w:p>
            <w:r>
              <w:rPr>
                <w:rFonts w:ascii="Calibri" w:hAnsi="Calibri"/>
                <w:sz w:val="22"/>
              </w:rPr>
              <w:t>~$203K</w:t>
            </w:r>
          </w:p>
        </w:tc>
        <w:tc>
          <w:tcPr>
            <w:tcW w:type="dxa" w:w="1440"/>
          </w:tcPr>
          <w:p>
            <w:r>
              <w:rPr>
                <w:rFonts w:ascii="Calibri" w:hAnsi="Calibri"/>
                <w:sz w:val="22"/>
              </w:rPr>
              <w:t>Jun 12, 2026</w:t>
            </w:r>
          </w:p>
        </w:tc>
        <w:tc>
          <w:tcPr>
            <w:tcW w:type="dxa" w:w="1440"/>
          </w:tcPr>
          <w:p>
            <w:r>
              <w:rPr>
                <w:rFonts w:ascii="Calibri" w:hAnsi="Calibri"/>
                <w:sz w:val="22"/>
              </w:rPr>
              <w:t>Shares withheld for tax; not a discretionary sale</w:t>
            </w:r>
          </w:p>
        </w:tc>
      </w:tr>
      <w:tr>
        <w:tc>
          <w:tcPr>
            <w:tcW w:type="dxa" w:w="1440"/>
          </w:tcPr>
          <w:p>
            <w:r>
              <w:rPr>
                <w:rFonts w:ascii="Calibri" w:hAnsi="Calibri"/>
                <w:sz w:val="22"/>
              </w:rPr>
              <w:t>Anthony Noto</w:t>
            </w:r>
          </w:p>
        </w:tc>
        <w:tc>
          <w:tcPr>
            <w:tcW w:type="dxa" w:w="1440"/>
          </w:tcPr>
          <w:p>
            <w:r>
              <w:rPr>
                <w:rFonts w:ascii="Calibri" w:hAnsi="Calibri"/>
                <w:sz w:val="22"/>
              </w:rPr>
              <w:t>Director</w:t>
            </w:r>
          </w:p>
        </w:tc>
        <w:tc>
          <w:tcPr>
            <w:tcW w:type="dxa" w:w="1440"/>
          </w:tcPr>
          <w:p>
            <w:r>
              <w:rPr>
                <w:rFonts w:ascii="Calibri" w:hAnsi="Calibri"/>
                <w:sz w:val="22"/>
              </w:rPr>
              <w:t>Equity Award (A)</w:t>
            </w:r>
          </w:p>
        </w:tc>
        <w:tc>
          <w:tcPr>
            <w:tcW w:type="dxa" w:w="1440"/>
          </w:tcPr>
          <w:p>
            <w:r>
              <w:rPr>
                <w:rFonts w:ascii="Calibri" w:hAnsi="Calibri"/>
                <w:sz w:val="22"/>
              </w:rPr>
              <w:t>~$27K</w:t>
            </w:r>
          </w:p>
        </w:tc>
        <w:tc>
          <w:tcPr>
            <w:tcW w:type="dxa" w:w="1440"/>
          </w:tcPr>
          <w:p>
            <w:r>
              <w:rPr>
                <w:rFonts w:ascii="Calibri" w:hAnsi="Calibri"/>
                <w:sz w:val="22"/>
              </w:rPr>
              <w:t>Jun 30, 2026</w:t>
            </w:r>
          </w:p>
        </w:tc>
        <w:tc>
          <w:tcPr>
            <w:tcW w:type="dxa" w:w="1440"/>
          </w:tcPr>
          <w:p>
            <w:r>
              <w:rPr>
                <w:rFonts w:ascii="Calibri" w:hAnsi="Calibri"/>
                <w:sz w:val="22"/>
              </w:rPr>
              <w:t>Routine director equity grant</w:t>
            </w:r>
          </w:p>
        </w:tc>
      </w:tr>
      <w:tr>
        <w:tc>
          <w:tcPr>
            <w:tcW w:type="dxa" w:w="1440"/>
          </w:tcPr>
          <w:p>
            <w:r>
              <w:rPr>
                <w:rFonts w:ascii="Calibri" w:hAnsi="Calibri"/>
                <w:sz w:val="22"/>
              </w:rPr>
              <w:t>Multiple Directors (10 individuals)</w:t>
            </w:r>
          </w:p>
        </w:tc>
        <w:tc>
          <w:tcPr>
            <w:tcW w:type="dxa" w:w="1440"/>
          </w:tcPr>
          <w:p>
            <w:r>
              <w:rPr>
                <w:rFonts w:ascii="Calibri" w:hAnsi="Calibri"/>
                <w:sz w:val="22"/>
              </w:rPr>
              <w:t>Board Directors</w:t>
            </w:r>
          </w:p>
        </w:tc>
        <w:tc>
          <w:tcPr>
            <w:tcW w:type="dxa" w:w="1440"/>
          </w:tcPr>
          <w:p>
            <w:r>
              <w:rPr>
                <w:rFonts w:ascii="Calibri" w:hAnsi="Calibri"/>
                <w:sz w:val="22"/>
              </w:rPr>
              <w:t>Equity Award (A)</w:t>
            </w:r>
          </w:p>
        </w:tc>
        <w:tc>
          <w:tcPr>
            <w:tcW w:type="dxa" w:w="1440"/>
          </w:tcPr>
          <w:p>
            <w:r>
              <w:rPr>
                <w:rFonts w:ascii="Calibri" w:hAnsi="Calibri"/>
                <w:sz w:val="22"/>
              </w:rPr>
              <w:t>~$9,067 each</w:t>
            </w:r>
          </w:p>
        </w:tc>
        <w:tc>
          <w:tcPr>
            <w:tcW w:type="dxa" w:w="1440"/>
          </w:tcPr>
          <w:p>
            <w:r>
              <w:rPr>
                <w:rFonts w:ascii="Calibri" w:hAnsi="Calibri"/>
                <w:sz w:val="22"/>
              </w:rPr>
              <w:t>Jun 9, 2026</w:t>
            </w:r>
          </w:p>
        </w:tc>
        <w:tc>
          <w:tcPr>
            <w:tcW w:type="dxa" w:w="1440"/>
          </w:tcPr>
          <w:p>
            <w:r>
              <w:rPr>
                <w:rFonts w:ascii="Calibri" w:hAnsi="Calibri"/>
                <w:sz w:val="22"/>
              </w:rPr>
              <w:t>Routine annual director equity grants (Di Piazza, Fisher, Gould, Lee, Levin, Levy, Lowe, Merchant, Price, Sanchez, Yang)</w:t>
            </w:r>
          </w:p>
        </w:tc>
      </w:tr>
      <w:tr>
        <w:tc>
          <w:tcPr>
            <w:tcW w:type="dxa" w:w="1440"/>
          </w:tcPr>
          <w:p>
            <w:r>
              <w:rPr>
                <w:rFonts w:ascii="Calibri" w:hAnsi="Calibri"/>
                <w:sz w:val="22"/>
              </w:rPr>
              <w:t>Paula A. Price</w:t>
            </w:r>
          </w:p>
        </w:tc>
        <w:tc>
          <w:tcPr>
            <w:tcW w:type="dxa" w:w="1440"/>
          </w:tcPr>
          <w:p>
            <w:r>
              <w:rPr>
                <w:rFonts w:ascii="Calibri" w:hAnsi="Calibri"/>
                <w:sz w:val="22"/>
              </w:rPr>
              <w:t>Director</w:t>
            </w:r>
          </w:p>
        </w:tc>
        <w:tc>
          <w:tcPr>
            <w:tcW w:type="dxa" w:w="1440"/>
          </w:tcPr>
          <w:p>
            <w:r>
              <w:rPr>
                <w:rFonts w:ascii="Calibri" w:hAnsi="Calibri"/>
                <w:sz w:val="22"/>
              </w:rPr>
              <w:t>Equity Award (I)</w:t>
            </w:r>
          </w:p>
        </w:tc>
        <w:tc>
          <w:tcPr>
            <w:tcW w:type="dxa" w:w="1440"/>
          </w:tcPr>
          <w:p>
            <w:r>
              <w:rPr>
                <w:rFonts w:ascii="Calibri" w:hAnsi="Calibri"/>
                <w:sz w:val="22"/>
              </w:rPr>
              <w:t>~$11K</w:t>
            </w:r>
          </w:p>
        </w:tc>
        <w:tc>
          <w:tcPr>
            <w:tcW w:type="dxa" w:w="1440"/>
          </w:tcPr>
          <w:p>
            <w:r>
              <w:rPr>
                <w:rFonts w:ascii="Calibri" w:hAnsi="Calibri"/>
                <w:sz w:val="22"/>
              </w:rPr>
              <w:t>Jun 4, 2026</w:t>
            </w:r>
          </w:p>
        </w:tc>
        <w:tc>
          <w:tcPr>
            <w:tcW w:type="dxa" w:w="1440"/>
          </w:tcPr>
          <w:p>
            <w:r>
              <w:rPr>
                <w:rFonts w:ascii="Calibri" w:hAnsi="Calibri"/>
                <w:sz w:val="22"/>
              </w:rPr>
              <w:t>Routine director equity grant</w:t>
            </w:r>
          </w:p>
        </w:tc>
      </w:tr>
    </w:tbl>
    <w:p>
      <w:r>
        <w:rPr>
          <w:rFonts w:ascii="Calibri" w:hAnsi="Calibri"/>
          <w:i/>
          <w:color w:val="525866"/>
          <w:sz w:val="22"/>
        </w:rPr>
        <w:t>Source: SEC Form 4 filings / Insider Transaction Data. Open-market buys (Form 4 code P) and discretionary open-market sales (code S): none observed in the period. All sales are 10b5-1 plan or tax-withholding related.</w:t>
      </w:r>
    </w:p>
    <w:p>
      <w:r>
        <w:br w:type="page"/>
      </w:r>
    </w:p>
    <w:p>
      <w:pPr>
        <w:pStyle w:val="Heading2"/>
      </w:pPr>
      <w:r>
        <w:rPr>
          <w:rFonts w:ascii="Calibri" w:hAnsi="Calibri"/>
          <w:b/>
          <w:color w:val="3B4259"/>
          <w:sz w:val="28"/>
        </w:rPr>
        <w:t>8. Peer Commentaries &amp; Read-Throughs (Last 60 Days, Q2 2026 Period)</w:t>
      </w:r>
    </w:p>
    <w:p>
      <w:r>
        <w:rPr>
          <w:rFonts w:ascii="Calibri" w:hAnsi="Calibri"/>
          <w:b/>
          <w:color w:val="525866"/>
          <w:sz w:val="22"/>
        </w:rPr>
        <w:t xml:space="preserve">Key Takeaway: </w:t>
      </w:r>
      <w:r>
        <w:rPr>
          <w:rFonts w:ascii="Calibri" w:hAnsi="Calibri"/>
          <w:color w:val="525866"/>
          <w:sz w:val="22"/>
        </w:rPr>
        <w:t xml:space="preserve">Peer earnings from Netflix (Q2, July 16), Comcast (Q2, July 23), and Disney (Q3 FY2026, August 5) provide a broadly constructive read-through for WBD's Q2 streaming and studios results, but flag </w:t>
      </w:r>
      <w:r>
        <w:rPr>
          <w:rFonts w:ascii="Calibri" w:hAnsi="Calibri"/>
          <w:b/>
          <w:color w:val="525866"/>
          <w:sz w:val="22"/>
        </w:rPr>
        <w:t>pricing pressure in streaming advertising</w:t>
      </w:r>
      <w:r>
        <w:rPr>
          <w:rFonts w:ascii="Calibri" w:hAnsi="Calibri"/>
          <w:color w:val="525866"/>
          <w:sz w:val="22"/>
        </w:rPr>
        <w:t xml:space="preserve"> and </w:t>
      </w:r>
      <w:r>
        <w:rPr>
          <w:rFonts w:ascii="Calibri" w:hAnsi="Calibri"/>
          <w:b/>
          <w:color w:val="525866"/>
          <w:sz w:val="22"/>
        </w:rPr>
        <w:t>softening consumer sentiment at theme parks</w:t>
      </w:r>
      <w:r>
        <w:rPr>
          <w:rFonts w:ascii="Calibri" w:hAnsi="Calibri"/>
          <w:color w:val="525866"/>
          <w:sz w:val="22"/>
        </w:rPr>
        <w:t xml:space="preserve"> as sector-level headwinds. The advertising market is healthy for live sports but competitive in streaming. Note: Only commentary pertaining to peers' current reporting quarter (Q2 2026 calendar) or forward-looking statements issued after their latest earnings is included below.</w:t>
      </w:r>
    </w:p>
    <w:p>
      <w:r>
        <w:rPr>
          <w:rFonts w:ascii="Calibri" w:hAnsi="Calibri"/>
          <w:b/>
          <w:color w:val="525866"/>
          <w:sz w:val="22"/>
        </w:rPr>
        <w:t xml:space="preserve">Methodology Note: </w:t>
      </w:r>
      <w:r>
        <w:rPr>
          <w:rFonts w:ascii="Calibri" w:hAnsi="Calibri"/>
          <w:i/>
          <w:color w:val="525866"/>
          <w:sz w:val="22"/>
        </w:rPr>
        <w:t>All commentary below is drawn from Q2 2026 earnings calls and releases (Netflix: July 16, 2026; Comcast: July 23, 2026; Disney: August 5, 2026). Commentary describing only prior-quarter results without forward relevance has been excluded.</w:t>
      </w:r>
    </w:p>
    <w:p>
      <w:pPr>
        <w:pStyle w:val="Heading3"/>
      </w:pPr>
      <w:r>
        <w:rPr>
          <w:rFonts w:ascii="Calibri" w:hAnsi="Calibri"/>
          <w:b/>
          <w:color w:val="3B4259"/>
          <w:sz w:val="24"/>
        </w:rPr>
        <w:t>8A. Netflix (NFLX) — Q2 2026 Earnings (Reported July 16, 2026)</w:t>
      </w:r>
    </w:p>
    <w:p>
      <w:r>
        <w:rPr>
          <w:rFonts w:ascii="Calibri" w:hAnsi="Calibri"/>
          <w:b/>
          <w:color w:val="525866"/>
          <w:sz w:val="22"/>
        </w:rPr>
        <w:t xml:space="preserve">Relevance: </w:t>
      </w:r>
      <w:r>
        <w:rPr>
          <w:rFonts w:ascii="Calibri" w:hAnsi="Calibri"/>
          <w:color w:val="525866"/>
          <w:sz w:val="22"/>
        </w:rPr>
        <w:t>Netflix is WBD's primary streaming competitor. Netflix's Q2 results and Q3 guidance provide the most direct read-through for Max's subscriber and revenue trajectory.</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Netflix Q2 2026 Commentary (Current Quarter / Forward)</w:t>
            </w:r>
          </w:p>
        </w:tc>
        <w:tc>
          <w:tcPr>
            <w:tcW w:type="dxa" w:w="2880"/>
            <w:shd w:val="clear" w:color="auto" w:fill="3B4259"/>
          </w:tcPr>
          <w:p>
            <w:r>
              <w:rPr>
                <w:rFonts w:ascii="Calibri" w:hAnsi="Calibri"/>
                <w:b/>
                <w:color w:val="FFFFFF"/>
                <w:sz w:val="22"/>
              </w:rPr>
              <w:t>WBD Read-Through</w:t>
            </w:r>
          </w:p>
        </w:tc>
      </w:tr>
      <w:tr>
        <w:tc>
          <w:tcPr>
            <w:tcW w:type="dxa" w:w="2880"/>
          </w:tcPr>
          <w:p>
            <w:r>
              <w:rPr>
                <w:rFonts w:ascii="Calibri" w:hAnsi="Calibri"/>
                <w:sz w:val="22"/>
              </w:rPr>
              <w:t>Streaming Engagement (Q2 Current)</w:t>
            </w:r>
          </w:p>
        </w:tc>
        <w:tc>
          <w:tcPr>
            <w:tcW w:type="dxa" w:w="2880"/>
          </w:tcPr>
          <w:p>
            <w:r>
              <w:rPr>
                <w:rFonts w:ascii="Calibri" w:hAnsi="Calibri"/>
                <w:sz w:val="22"/>
              </w:rPr>
              <w:t>"Quantity View grew 2% in the first half of 2026 — an incremental 1.5 billion hours relative to the same period last year." Q2 content highlights: 'I Will Find You' was the biggest original series launch of the year; 'Swapped' on track to be the second-biggest animated film ever.</w:t>
            </w:r>
          </w:p>
        </w:tc>
        <w:tc>
          <w:tcPr>
            <w:tcW w:type="dxa" w:w="2880"/>
          </w:tcPr>
          <w:p>
            <w:r>
              <w:rPr>
                <w:rFonts w:ascii="Calibri" w:hAnsi="Calibri"/>
                <w:b/>
                <w:color w:val="30A46C"/>
                <w:sz w:val="22"/>
              </w:rPr>
              <w:t xml:space="preserve">Positive: </w:t>
            </w:r>
            <w:r>
              <w:rPr>
                <w:rFonts w:ascii="Calibri" w:hAnsi="Calibri"/>
                <w:sz w:val="22"/>
              </w:rPr>
              <w:t xml:space="preserve"> Continued engagement growth across streaming validates the market. WBD's Max, with HBO's premium content (The Pitt, A Knight of the Seven Kingdoms), should benefit from the same tailwind.</w:t>
            </w:r>
          </w:p>
        </w:tc>
      </w:tr>
      <w:tr>
        <w:tc>
          <w:tcPr>
            <w:tcW w:type="dxa" w:w="2880"/>
          </w:tcPr>
          <w:p>
            <w:r>
              <w:rPr>
                <w:rFonts w:ascii="Calibri" w:hAnsi="Calibri"/>
                <w:sz w:val="22"/>
              </w:rPr>
              <w:t>Second-Season Retention (Q2 Current)</w:t>
            </w:r>
          </w:p>
        </w:tc>
        <w:tc>
          <w:tcPr>
            <w:tcW w:type="dxa" w:w="2880"/>
          </w:tcPr>
          <w:p>
            <w:r>
              <w:rPr>
                <w:rFonts w:ascii="Calibri" w:hAnsi="Calibri"/>
                <w:sz w:val="22"/>
              </w:rPr>
              <w:t>"In aggregate, we are not seeing any material change in our second season viewing compared to season one. Our season two fall off is actually slightly improved this year relative to last year."</w:t>
            </w:r>
          </w:p>
        </w:tc>
        <w:tc>
          <w:tcPr>
            <w:tcW w:type="dxa" w:w="2880"/>
          </w:tcPr>
          <w:p>
            <w:r>
              <w:rPr>
                <w:rFonts w:ascii="Calibri" w:hAnsi="Calibri"/>
                <w:b/>
                <w:color w:val="30A46C"/>
                <w:sz w:val="22"/>
              </w:rPr>
              <w:t xml:space="preserve">Positive: </w:t>
            </w:r>
            <w:r>
              <w:rPr>
                <w:rFonts w:ascii="Calibri" w:hAnsi="Calibri"/>
                <w:sz w:val="22"/>
              </w:rPr>
              <w:t xml:space="preserve"> Validates WBD's strategy of investing in returning series (The Pitt S2, House of the Dragon). Churn management through returning content appears to be working industry-wide.</w:t>
            </w:r>
          </w:p>
        </w:tc>
      </w:tr>
      <w:tr>
        <w:tc>
          <w:tcPr>
            <w:tcW w:type="dxa" w:w="2880"/>
          </w:tcPr>
          <w:p>
            <w:r>
              <w:rPr>
                <w:rFonts w:ascii="Calibri" w:hAnsi="Calibri"/>
                <w:sz w:val="22"/>
              </w:rPr>
              <w:t>Advertising ARPU (Q2 Current)</w:t>
            </w:r>
          </w:p>
        </w:tc>
        <w:tc>
          <w:tcPr>
            <w:tcW w:type="dxa" w:w="2880"/>
          </w:tcPr>
          <w:p>
            <w:r>
              <w:rPr>
                <w:rFonts w:ascii="Calibri" w:hAnsi="Calibri"/>
                <w:sz w:val="22"/>
              </w:rPr>
              <w:t>"There's still a gap between ad-supported and standard ARPU, but that gap is narrowing." Improvements in ad tech, fill rates, and measurement are driving ads ARPU higher.</w:t>
            </w:r>
          </w:p>
        </w:tc>
        <w:tc>
          <w:tcPr>
            <w:tcW w:type="dxa" w:w="2880"/>
          </w:tcPr>
          <w:p>
            <w:r>
              <w:rPr>
                <w:rFonts w:ascii="Calibri" w:hAnsi="Calibri"/>
                <w:b/>
                <w:color w:val="30A46C"/>
                <w:sz w:val="22"/>
              </w:rPr>
              <w:t xml:space="preserve">Positive: </w:t>
            </w:r>
            <w:r>
              <w:rPr>
                <w:rFonts w:ascii="Calibri" w:hAnsi="Calibri"/>
                <w:sz w:val="22"/>
              </w:rPr>
              <w:t xml:space="preserve"> WBD's Max ad-supported tier should benefit from the same industry-wide improvement in streaming ad monetization. WBD reported 19% ex-FX advertising revenue growth in Q1.</w:t>
            </w:r>
          </w:p>
        </w:tc>
      </w:tr>
      <w:tr>
        <w:tc>
          <w:tcPr>
            <w:tcW w:type="dxa" w:w="2880"/>
          </w:tcPr>
          <w:p>
            <w:r>
              <w:rPr>
                <w:rFonts w:ascii="Calibri" w:hAnsi="Calibri"/>
                <w:sz w:val="22"/>
              </w:rPr>
              <w:t>Pricing Power (Q2 Current)</w:t>
            </w:r>
          </w:p>
        </w:tc>
        <w:tc>
          <w:tcPr>
            <w:tcW w:type="dxa" w:w="2880"/>
          </w:tcPr>
          <w:p>
            <w:r>
              <w:rPr>
                <w:rFonts w:ascii="Calibri" w:hAnsi="Calibri"/>
                <w:sz w:val="22"/>
              </w:rPr>
              <w:t>"Our first half price changes in markets like Mexico and Spain have gone well. Results are consistent with prior price changes and our expectations."</w:t>
            </w:r>
          </w:p>
        </w:tc>
        <w:tc>
          <w:tcPr>
            <w:tcW w:type="dxa" w:w="2880"/>
          </w:tcPr>
          <w:p>
            <w:r>
              <w:rPr>
                <w:rFonts w:ascii="Calibri" w:hAnsi="Calibri"/>
                <w:b/>
                <w:color w:val="30A46C"/>
                <w:sz w:val="22"/>
              </w:rPr>
              <w:t xml:space="preserve">Positive: </w:t>
            </w:r>
            <w:r>
              <w:rPr>
                <w:rFonts w:ascii="Calibri" w:hAnsi="Calibri"/>
                <w:sz w:val="22"/>
              </w:rPr>
              <w:t xml:space="preserve"> Consumers are willing to pay more for streaming services that deliver perceived value. Supports WBD's ability to raise Max prices without material churn.</w:t>
            </w:r>
          </w:p>
        </w:tc>
      </w:tr>
      <w:tr>
        <w:tc>
          <w:tcPr>
            <w:tcW w:type="dxa" w:w="2880"/>
          </w:tcPr>
          <w:p>
            <w:r>
              <w:rPr>
                <w:rFonts w:ascii="Calibri" w:hAnsi="Calibri"/>
                <w:sz w:val="22"/>
              </w:rPr>
              <w:t>Gen AI in Production (Q2 Current)</w:t>
            </w:r>
          </w:p>
        </w:tc>
        <w:tc>
          <w:tcPr>
            <w:tcW w:type="dxa" w:w="2880"/>
          </w:tcPr>
          <w:p>
            <w:r>
              <w:rPr>
                <w:rFonts w:ascii="Calibri" w:hAnsi="Calibri"/>
                <w:sz w:val="22"/>
              </w:rPr>
              <w:t>"Gen AI workflows have been used in roughly 300 of our titles, with the largest concentration in post-production. Our documentary series 'American Experiment' featured 17 minutes of AI-enhanced footage produced twice as fast and at half the cost of previous options."</w:t>
            </w:r>
          </w:p>
        </w:tc>
        <w:tc>
          <w:tcPr>
            <w:tcW w:type="dxa" w:w="2880"/>
          </w:tcPr>
          <w:p>
            <w:r>
              <w:rPr>
                <w:rFonts w:ascii="Calibri" w:hAnsi="Calibri"/>
                <w:b/>
                <w:color w:val="30A46C"/>
                <w:sz w:val="22"/>
              </w:rPr>
              <w:t xml:space="preserve">Positive: </w:t>
            </w:r>
            <w:r>
              <w:rPr>
                <w:rFonts w:ascii="Calibri" w:hAnsi="Calibri"/>
                <w:sz w:val="22"/>
              </w:rPr>
              <w:t xml:space="preserve"> WBD's CFO flagged AI as a "more meaningful contributor to efficiencies" in 2026. Netflix's concrete cost savings validate the opportunity for WBD's studio operations.</w:t>
            </w:r>
          </w:p>
        </w:tc>
      </w:tr>
      <w:tr>
        <w:tc>
          <w:tcPr>
            <w:tcW w:type="dxa" w:w="2880"/>
          </w:tcPr>
          <w:p>
            <w:r>
              <w:rPr>
                <w:rFonts w:ascii="Calibri" w:hAnsi="Calibri"/>
                <w:sz w:val="22"/>
              </w:rPr>
              <w:t>Q3 2026 Revenue Guidance (Forward)</w:t>
            </w:r>
          </w:p>
        </w:tc>
        <w:tc>
          <w:tcPr>
            <w:tcW w:type="dxa" w:w="2880"/>
          </w:tcPr>
          <w:p>
            <w:r>
              <w:rPr>
                <w:rFonts w:ascii="Calibri" w:hAnsi="Calibri"/>
                <w:sz w:val="22"/>
              </w:rPr>
              <w:t>"We're guiding to 12% revenue growth in Q3 reported, 11% FX neutral." Full year: "13-14% top-line growth, roughly 12% FX neutral, or about $6B of incremental revenue year over year."</w:t>
            </w:r>
          </w:p>
        </w:tc>
        <w:tc>
          <w:tcPr>
            <w:tcW w:type="dxa" w:w="2880"/>
          </w:tcPr>
          <w:p>
            <w:r>
              <w:rPr>
                <w:rFonts w:ascii="Calibri" w:hAnsi="Calibri"/>
                <w:b/>
                <w:color w:val="30A46C"/>
                <w:sz w:val="22"/>
              </w:rPr>
              <w:t xml:space="preserve">Positive: </w:t>
            </w:r>
            <w:r>
              <w:rPr>
                <w:rFonts w:ascii="Calibri" w:hAnsi="Calibri"/>
                <w:sz w:val="22"/>
              </w:rPr>
              <w:t xml:space="preserve"> Strong streaming sector growth trajectory. However, Netflix's scale and content spend (~10% content expense growth) set a high bar that WBD cannot match, making relative positioning important.</w:t>
            </w:r>
          </w:p>
        </w:tc>
      </w:tr>
    </w:tbl>
    <w:p>
      <w:pPr>
        <w:pStyle w:val="Heading3"/>
      </w:pPr>
      <w:r>
        <w:rPr>
          <w:rFonts w:ascii="Calibri" w:hAnsi="Calibri"/>
          <w:b/>
          <w:color w:val="3B4259"/>
          <w:sz w:val="24"/>
        </w:rPr>
        <w:t>8B. Comcast / NBCUniversal (CMCSA) — Q2 2026 Earnings (Reported July 23, 2026)</w:t>
      </w:r>
    </w:p>
    <w:p>
      <w:r>
        <w:rPr>
          <w:rFonts w:ascii="Calibri" w:hAnsi="Calibri"/>
          <w:b/>
          <w:color w:val="525866"/>
          <w:sz w:val="22"/>
        </w:rPr>
        <w:t xml:space="preserve">Relevance: </w:t>
      </w:r>
      <w:r>
        <w:rPr>
          <w:rFonts w:ascii="Calibri" w:hAnsi="Calibri"/>
          <w:color w:val="525866"/>
          <w:sz w:val="22"/>
        </w:rPr>
        <w:t>Comcast's Peacock streaming service, NBCUniversal studios, and linear networks are direct analogs to WBD's three segments. Comcast also announced a separation of its media business (SpinCo), mirroring WBD's own prior separation strategy.</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Comcast Q2 2026 Commentary (Current Quarter / Forward)</w:t>
            </w:r>
          </w:p>
        </w:tc>
        <w:tc>
          <w:tcPr>
            <w:tcW w:type="dxa" w:w="2880"/>
            <w:shd w:val="clear" w:color="auto" w:fill="3B4259"/>
          </w:tcPr>
          <w:p>
            <w:r>
              <w:rPr>
                <w:rFonts w:ascii="Calibri" w:hAnsi="Calibri"/>
                <w:b/>
                <w:color w:val="FFFFFF"/>
                <w:sz w:val="22"/>
              </w:rPr>
              <w:t>WBD Read-Through</w:t>
            </w:r>
          </w:p>
        </w:tc>
      </w:tr>
      <w:tr>
        <w:tc>
          <w:tcPr>
            <w:tcW w:type="dxa" w:w="2880"/>
          </w:tcPr>
          <w:p>
            <w:r>
              <w:rPr>
                <w:rFonts w:ascii="Calibri" w:hAnsi="Calibri"/>
                <w:sz w:val="22"/>
              </w:rPr>
              <w:t>Streaming Profitability (Q2 Current)</w:t>
            </w:r>
          </w:p>
        </w:tc>
        <w:tc>
          <w:tcPr>
            <w:tcW w:type="dxa" w:w="2880"/>
          </w:tcPr>
          <w:p>
            <w:r>
              <w:rPr>
                <w:rFonts w:ascii="Calibri" w:hAnsi="Calibri"/>
                <w:sz w:val="22"/>
              </w:rPr>
              <w:t>Peacock reached profitability for the first time, generating $189M of EBITDA in Q2. Revenue increased 54%, with distribution revenue up &gt;50% and advertising revenue up nearly 70%, fueled by the FIFA World Cup, NBA playoffs, and Love Island.</w:t>
            </w:r>
          </w:p>
        </w:tc>
        <w:tc>
          <w:tcPr>
            <w:tcW w:type="dxa" w:w="2880"/>
          </w:tcPr>
          <w:p>
            <w:r>
              <w:rPr>
                <w:rFonts w:ascii="Calibri" w:hAnsi="Calibri"/>
                <w:b/>
                <w:color w:val="30A46C"/>
                <w:sz w:val="22"/>
              </w:rPr>
              <w:t xml:space="preserve">Positive: </w:t>
            </w:r>
            <w:r>
              <w:rPr>
                <w:rFonts w:ascii="Calibri" w:hAnsi="Calibri"/>
                <w:sz w:val="22"/>
              </w:rPr>
              <w:t xml:space="preserve"> Validates the streaming profitability inflection thesis. WBD's Max is further along this curve ($438M streaming EBITDA in Q1). Live sports and popular content are the key drivers of both subscriber growth and ad revenue.</w:t>
            </w:r>
          </w:p>
        </w:tc>
      </w:tr>
      <w:tr>
        <w:tc>
          <w:tcPr>
            <w:tcW w:type="dxa" w:w="2880"/>
          </w:tcPr>
          <w:p>
            <w:r>
              <w:rPr>
                <w:rFonts w:ascii="Calibri" w:hAnsi="Calibri"/>
                <w:sz w:val="22"/>
              </w:rPr>
              <w:t>Streaming Profitability Seasonality (Forward Q3)</w:t>
            </w:r>
          </w:p>
        </w:tc>
        <w:tc>
          <w:tcPr>
            <w:tcW w:type="dxa" w:w="2880"/>
          </w:tcPr>
          <w:p>
            <w:r>
              <w:rPr>
                <w:rFonts w:ascii="Calibri" w:hAnsi="Calibri"/>
                <w:sz w:val="22"/>
              </w:rPr>
              <w:t>"We do expect [Peacock profitability] to continue to improve on an annual basis, but profitability is going to vary quarter by quarter, just based on the timing of sports schedules and other content hitting one quarter versus another."</w:t>
            </w:r>
          </w:p>
        </w:tc>
        <w:tc>
          <w:tcPr>
            <w:tcW w:type="dxa" w:w="2880"/>
          </w:tcPr>
          <w:p>
            <w:r>
              <w:rPr>
                <w:rFonts w:ascii="Calibri" w:hAnsi="Calibri"/>
                <w:b/>
                <w:sz w:val="22"/>
              </w:rPr>
              <w:t xml:space="preserve">Neutral: </w:t>
            </w:r>
            <w:r>
              <w:rPr>
                <w:rFonts w:ascii="Calibri" w:hAnsi="Calibri"/>
                <w:sz w:val="22"/>
              </w:rPr>
              <w:t xml:space="preserve"> Important context for WBD's Q2 streaming EBITDA. The Street's Q2 estimate of $382M (vs. $438M in Q1) already reflects this seasonality. WBD's Q2 lacks the NBA (lost rights) but benefits from European Max launches.</w:t>
            </w:r>
          </w:p>
        </w:tc>
      </w:tr>
      <w:tr>
        <w:tc>
          <w:tcPr>
            <w:tcW w:type="dxa" w:w="2880"/>
          </w:tcPr>
          <w:p>
            <w:r>
              <w:rPr>
                <w:rFonts w:ascii="Calibri" w:hAnsi="Calibri"/>
                <w:sz w:val="22"/>
              </w:rPr>
              <w:t>Studios Performance (Q2 Current)</w:t>
            </w:r>
          </w:p>
        </w:tc>
        <w:tc>
          <w:tcPr>
            <w:tcW w:type="dxa" w:w="2880"/>
          </w:tcPr>
          <w:p>
            <w:r>
              <w:rPr>
                <w:rFonts w:ascii="Calibri" w:hAnsi="Calibri"/>
                <w:sz w:val="22"/>
              </w:rPr>
              <w:t>Studios revenue increased 25% and EBITDA increased $141M YoY. Key Q2 titles: Super Mario Galaxy, Minions and Monsters ($6B global franchise), Obsession ($400M+ worldwide), Disclosure Day (Spielberg's biggest original opening), and The Odyssey (Nolan's biggest global opening).</w:t>
            </w:r>
          </w:p>
        </w:tc>
        <w:tc>
          <w:tcPr>
            <w:tcW w:type="dxa" w:w="2880"/>
          </w:tcPr>
          <w:p>
            <w:r>
              <w:rPr>
                <w:rFonts w:ascii="Calibri" w:hAnsi="Calibri"/>
                <w:b/>
                <w:color w:val="30A46C"/>
                <w:sz w:val="22"/>
              </w:rPr>
              <w:t xml:space="preserve">Positive: </w:t>
            </w:r>
            <w:r>
              <w:rPr>
                <w:rFonts w:ascii="Calibri" w:hAnsi="Calibri"/>
                <w:sz w:val="22"/>
              </w:rPr>
              <w:t xml:space="preserve"> Strong theatrical market in Q2 2026. WBD's Q2 studio slate is lighter than Q1 (which had Oscar-winning One Battle After Another), but the healthy theatrical environment is a tailwind for any WBD releases.</w:t>
            </w:r>
          </w:p>
        </w:tc>
      </w:tr>
      <w:tr>
        <w:tc>
          <w:tcPr>
            <w:tcW w:type="dxa" w:w="2880"/>
          </w:tcPr>
          <w:p>
            <w:r>
              <w:rPr>
                <w:rFonts w:ascii="Calibri" w:hAnsi="Calibri"/>
                <w:sz w:val="22"/>
              </w:rPr>
              <w:t>Advertising Market (Q2 Current)</w:t>
            </w:r>
          </w:p>
        </w:tc>
        <w:tc>
          <w:tcPr>
            <w:tcW w:type="dxa" w:w="2880"/>
          </w:tcPr>
          <w:p>
            <w:r>
              <w:rPr>
                <w:rFonts w:ascii="Calibri" w:hAnsi="Calibri"/>
                <w:sz w:val="22"/>
              </w:rPr>
              <w:t>Peacock advertising revenue up nearly 70% in Q2, driven by FIFA World Cup, NBA playoffs, and Love Island. "Strong engagement and robust ad sales across both linear and streaming."</w:t>
            </w:r>
          </w:p>
        </w:tc>
        <w:tc>
          <w:tcPr>
            <w:tcW w:type="dxa" w:w="2880"/>
          </w:tcPr>
          <w:p>
            <w:r>
              <w:rPr>
                <w:rFonts w:ascii="Calibri" w:hAnsi="Calibri"/>
                <w:b/>
                <w:color w:val="30A46C"/>
                <w:sz w:val="22"/>
              </w:rPr>
              <w:t xml:space="preserve">Positive: </w:t>
            </w:r>
            <w:r>
              <w:rPr>
                <w:rFonts w:ascii="Calibri" w:hAnsi="Calibri"/>
                <w:sz w:val="22"/>
              </w:rPr>
              <w:t xml:space="preserve"> Live sports and major events continue to drive premium ad pricing. WBD's Q2 lacks the NBA but benefits from March Madness (Q1) carryover and international sports. The strong ad market is a tailwind for Max's ad-supported tier.</w:t>
            </w:r>
          </w:p>
        </w:tc>
      </w:tr>
      <w:tr>
        <w:tc>
          <w:tcPr>
            <w:tcW w:type="dxa" w:w="2880"/>
          </w:tcPr>
          <w:p>
            <w:r>
              <w:rPr>
                <w:rFonts w:ascii="Calibri" w:hAnsi="Calibri"/>
                <w:sz w:val="22"/>
              </w:rPr>
              <w:t>Linear TV Resilience (Q2 Current)</w:t>
            </w:r>
          </w:p>
        </w:tc>
        <w:tc>
          <w:tcPr>
            <w:tcW w:type="dxa" w:w="2880"/>
          </w:tcPr>
          <w:p>
            <w:r>
              <w:rPr>
                <w:rFonts w:ascii="Calibri" w:hAnsi="Calibri"/>
                <w:sz w:val="22"/>
              </w:rPr>
              <w:t>Media segment generated mid-single digit EBITDA growth despite absorbing the first full year of NBA contract costs. NBC and Telemundo reach over 100M households per quarter in linear.</w:t>
            </w:r>
          </w:p>
        </w:tc>
        <w:tc>
          <w:tcPr>
            <w:tcW w:type="dxa" w:w="2880"/>
          </w:tcPr>
          <w:p>
            <w:r>
              <w:rPr>
                <w:rFonts w:ascii="Calibri" w:hAnsi="Calibri"/>
                <w:b/>
                <w:sz w:val="22"/>
              </w:rPr>
              <w:t xml:space="preserve">Neutral: </w:t>
            </w:r>
            <w:r>
              <w:rPr>
                <w:rFonts w:ascii="Calibri" w:hAnsi="Calibri"/>
                <w:sz w:val="22"/>
              </w:rPr>
              <w:t xml:space="preserve"> WBD's linear networks lack the broadcast reach of NBC/Telemundo but have strong cable brands (CNN, TLC, TBS). The mid-single digit EBITDA growth at Comcast's media segment is better than WBD's linear trajectory (-10% ex-FX in Q1).</w:t>
            </w:r>
          </w:p>
        </w:tc>
      </w:tr>
      <w:tr>
        <w:tc>
          <w:tcPr>
            <w:tcW w:type="dxa" w:w="2880"/>
          </w:tcPr>
          <w:p>
            <w:r>
              <w:rPr>
                <w:rFonts w:ascii="Calibri" w:hAnsi="Calibri"/>
                <w:sz w:val="22"/>
              </w:rPr>
              <w:t>Consumer Sentiment / Theme Parks (Q2 Current &amp; Forward Q3)</w:t>
            </w:r>
          </w:p>
        </w:tc>
        <w:tc>
          <w:tcPr>
            <w:tcW w:type="dxa" w:w="2880"/>
          </w:tcPr>
          <w:p>
            <w:r>
              <w:rPr>
                <w:rFonts w:ascii="Calibri" w:hAnsi="Calibri"/>
                <w:sz w:val="22"/>
              </w:rPr>
              <w:t>"The operating environment has softened more than we anticipated. Attendance across the broader Orlando market began to soften in June, and that trend has continued into the third quarter." Attributed to higher fuel prices and weaker consumer sentiment.</w:t>
            </w:r>
          </w:p>
        </w:tc>
        <w:tc>
          <w:tcPr>
            <w:tcW w:type="dxa" w:w="2880"/>
          </w:tcPr>
          <w:p>
            <w:r>
              <w:rPr>
                <w:rFonts w:ascii="Calibri" w:hAnsi="Calibri"/>
                <w:b/>
                <w:color w:val="E5484D"/>
                <w:sz w:val="22"/>
              </w:rPr>
              <w:t xml:space="preserve">Negative: </w:t>
            </w:r>
            <w:r>
              <w:rPr>
                <w:rFonts w:ascii="Calibri" w:hAnsi="Calibri"/>
                <w:sz w:val="22"/>
              </w:rPr>
              <w:t xml:space="preserve"> WBD does not have a parks business, but softening consumer sentiment is a macro headwind for discretionary entertainment spending broadly. This could weigh on theatrical attendance and streaming subscriber growth in Q3.</w:t>
            </w:r>
          </w:p>
        </w:tc>
      </w:tr>
    </w:tbl>
    <w:p>
      <w:pPr>
        <w:pStyle w:val="Heading3"/>
      </w:pPr>
      <w:r>
        <w:rPr>
          <w:rFonts w:ascii="Calibri" w:hAnsi="Calibri"/>
          <w:b/>
          <w:color w:val="3B4259"/>
          <w:sz w:val="24"/>
        </w:rPr>
        <w:t>8C. Walt Disney Company (DIS) — FQ3 2026 Earnings (Reported August 5, 2026)</w:t>
      </w:r>
    </w:p>
    <w:p>
      <w:r>
        <w:rPr>
          <w:rFonts w:ascii="Calibri" w:hAnsi="Calibri"/>
          <w:b/>
          <w:color w:val="525866"/>
          <w:sz w:val="22"/>
        </w:rPr>
        <w:t xml:space="preserve">Relevance: </w:t>
      </w:r>
      <w:r>
        <w:rPr>
          <w:rFonts w:ascii="Calibri" w:hAnsi="Calibri"/>
          <w:color w:val="525866"/>
          <w:sz w:val="22"/>
        </w:rPr>
        <w:t>Disney's FQ3 2026 (calendar Q2 2026) results are the most timely peer read-through, reported the day before WBD's earnings. Disney's streaming profitability, advertising market commentary, and studio performance are directly relevant to WBD's Q2 results. Disney also highlighted the Disney+/Hulu/HBO Max bundle as "very popular" and "very sticky."</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Disney FQ3 2026 Commentary (Current Quarter / Forward)</w:t>
            </w:r>
          </w:p>
        </w:tc>
        <w:tc>
          <w:tcPr>
            <w:tcW w:type="dxa" w:w="2880"/>
            <w:shd w:val="clear" w:color="auto" w:fill="3B4259"/>
          </w:tcPr>
          <w:p>
            <w:r>
              <w:rPr>
                <w:rFonts w:ascii="Calibri" w:hAnsi="Calibri"/>
                <w:b/>
                <w:color w:val="FFFFFF"/>
                <w:sz w:val="22"/>
              </w:rPr>
              <w:t>WBD Read-Through</w:t>
            </w:r>
          </w:p>
        </w:tc>
      </w:tr>
      <w:tr>
        <w:tc>
          <w:tcPr>
            <w:tcW w:type="dxa" w:w="2880"/>
          </w:tcPr>
          <w:p>
            <w:r>
              <w:rPr>
                <w:rFonts w:ascii="Calibri" w:hAnsi="Calibri"/>
                <w:sz w:val="22"/>
              </w:rPr>
              <w:t>Streaming Profitability (Q2 Current)</w:t>
            </w:r>
          </w:p>
        </w:tc>
        <w:tc>
          <w:tcPr>
            <w:tcW w:type="dxa" w:w="2880"/>
          </w:tcPr>
          <w:p>
            <w:r>
              <w:rPr>
                <w:rFonts w:ascii="Calibri" w:hAnsi="Calibri"/>
                <w:sz w:val="22"/>
              </w:rPr>
              <w:t>Disney+ achieved a 13% operating margin in FQ3 2026. "We remain on track for double-digit margins in fiscal 2026." Subscription video-on-demand operating income more than doubled to $712M from $329M a year earlier.</w:t>
            </w:r>
          </w:p>
        </w:tc>
        <w:tc>
          <w:tcPr>
            <w:tcW w:type="dxa" w:w="2880"/>
          </w:tcPr>
          <w:p>
            <w:r>
              <w:rPr>
                <w:rFonts w:ascii="Calibri" w:hAnsi="Calibri"/>
                <w:b/>
                <w:color w:val="30A46C"/>
                <w:sz w:val="22"/>
              </w:rPr>
              <w:t xml:space="preserve">Positive: </w:t>
            </w:r>
            <w:r>
              <w:rPr>
                <w:rFonts w:ascii="Calibri" w:hAnsi="Calibri"/>
                <w:sz w:val="22"/>
              </w:rPr>
              <w:t xml:space="preserve"> Disney's streaming profitability inflection validates the industry-wide trend. WBD's Max ($438M streaming EBITDA in Q1) is ahead of Disney on an absolute basis, supporting management's bullish tone on Q2 streaming EBITDA.</w:t>
            </w:r>
          </w:p>
        </w:tc>
      </w:tr>
      <w:tr>
        <w:tc>
          <w:tcPr>
            <w:tcW w:type="dxa" w:w="2880"/>
          </w:tcPr>
          <w:p>
            <w:r>
              <w:rPr>
                <w:rFonts w:ascii="Calibri" w:hAnsi="Calibri"/>
                <w:sz w:val="22"/>
              </w:rPr>
              <w:t>HBO Max Bundle Performance (Q2 Current)</w:t>
            </w:r>
          </w:p>
        </w:tc>
        <w:tc>
          <w:tcPr>
            <w:tcW w:type="dxa" w:w="2880"/>
          </w:tcPr>
          <w:p>
            <w:r>
              <w:rPr>
                <w:rFonts w:ascii="Calibri" w:hAnsi="Calibri"/>
                <w:sz w:val="22"/>
              </w:rPr>
              <w:t>"The Disney Plus Hulu HBO Max bundle is very popular and works well for both us and Warner Brothers Discovery. It's very sticky. The churn on the bundles is significantly lower than our Hulu or Disney Plus standalone products when we look at similar cohorts."</w:t>
            </w:r>
          </w:p>
        </w:tc>
        <w:tc>
          <w:tcPr>
            <w:tcW w:type="dxa" w:w="2880"/>
          </w:tcPr>
          <w:p>
            <w:r>
              <w:rPr>
                <w:rFonts w:ascii="Calibri" w:hAnsi="Calibri"/>
                <w:b/>
                <w:color w:val="30A46C"/>
                <w:sz w:val="22"/>
              </w:rPr>
              <w:t xml:space="preserve">Positive: </w:t>
            </w:r>
            <w:r>
              <w:rPr>
                <w:rFonts w:ascii="Calibri" w:hAnsi="Calibri"/>
                <w:sz w:val="22"/>
              </w:rPr>
              <w:t xml:space="preserve"> Direct validation of Max's value in the bundle ecosystem. Lower churn on bundled subscribers supports WBD's subscriber-related revenue growth and ARPU/LTV metrics that management highlighted on the Q1 call.</w:t>
            </w:r>
          </w:p>
        </w:tc>
      </w:tr>
      <w:tr>
        <w:tc>
          <w:tcPr>
            <w:tcW w:type="dxa" w:w="2880"/>
          </w:tcPr>
          <w:p>
            <w:r>
              <w:rPr>
                <w:rFonts w:ascii="Calibri" w:hAnsi="Calibri"/>
                <w:sz w:val="22"/>
              </w:rPr>
              <w:t>Advertising Market (Q2 Current)</w:t>
            </w:r>
          </w:p>
        </w:tc>
        <w:tc>
          <w:tcPr>
            <w:tcW w:type="dxa" w:w="2880"/>
          </w:tcPr>
          <w:p>
            <w:r>
              <w:rPr>
                <w:rFonts w:ascii="Calibri" w:hAnsi="Calibri"/>
                <w:sz w:val="22"/>
              </w:rPr>
              <w:t>"The current tone is healthy in sports, but competitive in streaming, especially given the growth of supply in the marketplace. That supply is creating some pricing pressure for us and for others." Upfront volume commitments up double digits YoY; sports volumes up low teens. Super Bowl inventory sold out.</w:t>
            </w:r>
          </w:p>
        </w:tc>
        <w:tc>
          <w:tcPr>
            <w:tcW w:type="dxa" w:w="2880"/>
          </w:tcPr>
          <w:p>
            <w:r>
              <w:rPr>
                <w:rFonts w:ascii="Calibri" w:hAnsi="Calibri"/>
                <w:b/>
                <w:sz w:val="22"/>
              </w:rPr>
              <w:t xml:space="preserve">Mixed: </w:t>
            </w:r>
            <w:r>
              <w:rPr>
                <w:rFonts w:ascii="Calibri" w:hAnsi="Calibri"/>
                <w:sz w:val="22"/>
              </w:rPr>
              <w:t xml:space="preserve"> Healthy sports ad market is positive for WBD's linear sports and Max sports content. However, the "competitive in streaming" and "pricing pressure" commentary is a direct headwind for Max's ad-supported tier ARPU. Category softness in telecom, restaurants, and CPG is relevant to WBD's advertiser mix.</w:t>
            </w:r>
          </w:p>
        </w:tc>
      </w:tr>
      <w:tr>
        <w:tc>
          <w:tcPr>
            <w:tcW w:type="dxa" w:w="2880"/>
          </w:tcPr>
          <w:p>
            <w:r>
              <w:rPr>
                <w:rFonts w:ascii="Calibri" w:hAnsi="Calibri"/>
                <w:sz w:val="22"/>
              </w:rPr>
              <w:t>Studios / Theatrical (Q2 Current)</w:t>
            </w:r>
          </w:p>
        </w:tc>
        <w:tc>
          <w:tcPr>
            <w:tcW w:type="dxa" w:w="2880"/>
          </w:tcPr>
          <w:p>
            <w:r>
              <w:rPr>
                <w:rFonts w:ascii="Calibri" w:hAnsi="Calibri"/>
                <w:sz w:val="22"/>
              </w:rPr>
              <w:t>Toy Story 5 surpassed $1B at the global box office since its June release. Spider-Man had a record-breaking opening. "The growth drivers for the company right now are experiences and streaming, underpinned by IP. The theatrical window is just one data point." Disney plans to grow content spending from $24B this year over time.</w:t>
            </w:r>
          </w:p>
        </w:tc>
        <w:tc>
          <w:tcPr>
            <w:tcW w:type="dxa" w:w="2880"/>
          </w:tcPr>
          <w:p>
            <w:r>
              <w:rPr>
                <w:rFonts w:ascii="Calibri" w:hAnsi="Calibri"/>
                <w:b/>
                <w:color w:val="30A46C"/>
                <w:sz w:val="22"/>
              </w:rPr>
              <w:t xml:space="preserve">Positive: </w:t>
            </w:r>
            <w:r>
              <w:rPr>
                <w:rFonts w:ascii="Calibri" w:hAnsi="Calibri"/>
                <w:sz w:val="22"/>
              </w:rPr>
              <w:t xml:space="preserve"> Strong theatrical market in Q2 2026 validates the IP-driven studio model. WBD's Q2 studio slate is lighter than Q1, but the healthy theatrical environment and Disney's IP-flywheel commentary validates WBD's own DC/Harry Potter/LOTR strategy.</w:t>
            </w:r>
          </w:p>
        </w:tc>
      </w:tr>
      <w:tr>
        <w:tc>
          <w:tcPr>
            <w:tcW w:type="dxa" w:w="2880"/>
          </w:tcPr>
          <w:p>
            <w:r>
              <w:rPr>
                <w:rFonts w:ascii="Calibri" w:hAnsi="Calibri"/>
                <w:sz w:val="22"/>
              </w:rPr>
              <w:t>Linear Sports (Q2 Current)</w:t>
            </w:r>
          </w:p>
        </w:tc>
        <w:tc>
          <w:tcPr>
            <w:tcW w:type="dxa" w:w="2880"/>
          </w:tcPr>
          <w:p>
            <w:r>
              <w:rPr>
                <w:rFonts w:ascii="Calibri" w:hAnsi="Calibri"/>
                <w:sz w:val="22"/>
              </w:rPr>
              <w:t>ESPN saw over 100% growth in NBA Finals and NHL postseason viewership vs. prior season, making it the most viewed FQ3 across ESPN/ABC since 2016. NBA Finals were the highest-rated in 28 years. "The sports segment is growing."</w:t>
            </w:r>
          </w:p>
        </w:tc>
        <w:tc>
          <w:tcPr>
            <w:tcW w:type="dxa" w:w="2880"/>
          </w:tcPr>
          <w:p>
            <w:r>
              <w:rPr>
                <w:rFonts w:ascii="Calibri" w:hAnsi="Calibri"/>
                <w:b/>
                <w:color w:val="30A46C"/>
                <w:sz w:val="22"/>
              </w:rPr>
              <w:t xml:space="preserve">Positive: </w:t>
            </w:r>
            <w:r>
              <w:rPr>
                <w:rFonts w:ascii="Calibri" w:hAnsi="Calibri"/>
                <w:sz w:val="22"/>
              </w:rPr>
              <w:t xml:space="preserve"> Strong live sports viewership validates the value of sports rights. WBD lost the NBA but retains March Madness (TNT Sports) and international sports. The strong sports ad market is a tailwind for WBD's remaining sports assets.</w:t>
            </w:r>
          </w:p>
        </w:tc>
      </w:tr>
      <w:tr>
        <w:tc>
          <w:tcPr>
            <w:tcW w:type="dxa" w:w="2880"/>
          </w:tcPr>
          <w:p>
            <w:r>
              <w:rPr>
                <w:rFonts w:ascii="Calibri" w:hAnsi="Calibri"/>
                <w:sz w:val="22"/>
              </w:rPr>
              <w:t>Industry Consolidation Commentary (Forward)</w:t>
            </w:r>
          </w:p>
        </w:tc>
        <w:tc>
          <w:tcPr>
            <w:tcW w:type="dxa" w:w="2880"/>
          </w:tcPr>
          <w:p>
            <w:r>
              <w:rPr>
                <w:rFonts w:ascii="Calibri" w:hAnsi="Calibri"/>
                <w:sz w:val="22"/>
              </w:rPr>
              <w:t>CEO Josh D'Amaro: "The streaming industry is consolidating through M&amp;A and through a growing number of partnerships. A more consolidated industry is really a better investment backdrop."</w:t>
            </w:r>
          </w:p>
        </w:tc>
        <w:tc>
          <w:tcPr>
            <w:tcW w:type="dxa" w:w="2880"/>
          </w:tcPr>
          <w:p>
            <w:r>
              <w:rPr>
                <w:rFonts w:ascii="Calibri" w:hAnsi="Calibri"/>
                <w:b/>
                <w:color w:val="30A46C"/>
                <w:sz w:val="22"/>
              </w:rPr>
              <w:t xml:space="preserve">Positive: </w:t>
            </w:r>
            <w:r>
              <w:rPr>
                <w:rFonts w:ascii="Calibri" w:hAnsi="Calibri"/>
                <w:sz w:val="22"/>
              </w:rPr>
              <w:t xml:space="preserve"> Direct validation of the strategic rationale for the Paramount-WBD merger. Disney's CEO explicitly endorsing industry consolidation as a "better investment backdrop" supports the long-term thesis for the combined entity.</w:t>
            </w:r>
          </w:p>
        </w:tc>
      </w:tr>
    </w:tbl>
    <w:p>
      <w:pPr>
        <w:pStyle w:val="Heading3"/>
      </w:pPr>
      <w:r>
        <w:rPr>
          <w:rFonts w:ascii="Calibri" w:hAnsi="Calibri"/>
          <w:b/>
          <w:color w:val="3B4259"/>
          <w:sz w:val="24"/>
        </w:rPr>
        <w:t>8D. 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Signal</w:t>
            </w:r>
          </w:p>
        </w:tc>
        <w:tc>
          <w:tcPr>
            <w:tcW w:type="dxa" w:w="2160"/>
            <w:shd w:val="clear" w:color="auto" w:fill="3B4259"/>
          </w:tcPr>
          <w:p>
            <w:r>
              <w:rPr>
                <w:rFonts w:ascii="Calibri" w:hAnsi="Calibri"/>
                <w:b/>
                <w:color w:val="FFFFFF"/>
                <w:sz w:val="22"/>
              </w:rPr>
              <w:t>Key Peer Source</w:t>
            </w:r>
          </w:p>
        </w:tc>
        <w:tc>
          <w:tcPr>
            <w:tcW w:type="dxa" w:w="2160"/>
            <w:shd w:val="clear" w:color="auto" w:fill="3B4259"/>
          </w:tcPr>
          <w:p>
            <w:r>
              <w:rPr>
                <w:rFonts w:ascii="Calibri" w:hAnsi="Calibri"/>
                <w:b/>
                <w:color w:val="FFFFFF"/>
                <w:sz w:val="22"/>
              </w:rPr>
              <w:t>WBD Implication</w:t>
            </w:r>
          </w:p>
        </w:tc>
      </w:tr>
      <w:tr>
        <w:tc>
          <w:tcPr>
            <w:tcW w:type="dxa" w:w="2160"/>
          </w:tcPr>
          <w:p>
            <w:r>
              <w:rPr>
                <w:rFonts w:ascii="Calibri" w:hAnsi="Calibri"/>
                <w:sz w:val="22"/>
              </w:rPr>
              <w:t>Streaming engagement growth</w:t>
            </w:r>
          </w:p>
        </w:tc>
        <w:tc>
          <w:tcPr>
            <w:tcW w:type="dxa" w:w="2160"/>
          </w:tcPr>
          <w:p>
            <w:r>
              <w:rPr>
                <w:rFonts w:ascii="Calibri" w:hAnsi="Calibri"/>
                <w:b/>
                <w:color w:val="30A46C"/>
                <w:sz w:val="22"/>
              </w:rPr>
              <w:t>Positive</w:t>
            </w:r>
          </w:p>
        </w:tc>
        <w:tc>
          <w:tcPr>
            <w:tcW w:type="dxa" w:w="2160"/>
          </w:tcPr>
          <w:p>
            <w:r>
              <w:rPr>
                <w:rFonts w:ascii="Calibri" w:hAnsi="Calibri"/>
                <w:sz w:val="22"/>
              </w:rPr>
              <w:t>Netflix Q2</w:t>
            </w:r>
          </w:p>
        </w:tc>
        <w:tc>
          <w:tcPr>
            <w:tcW w:type="dxa" w:w="2160"/>
          </w:tcPr>
          <w:p>
            <w:r>
              <w:rPr>
                <w:rFonts w:ascii="Calibri" w:hAnsi="Calibri"/>
                <w:sz w:val="22"/>
              </w:rPr>
              <w:t>Validates Max subscriber-related revenue acceleration</w:t>
            </w:r>
          </w:p>
        </w:tc>
      </w:tr>
      <w:tr>
        <w:tc>
          <w:tcPr>
            <w:tcW w:type="dxa" w:w="2160"/>
          </w:tcPr>
          <w:p>
            <w:r>
              <w:rPr>
                <w:rFonts w:ascii="Calibri" w:hAnsi="Calibri"/>
                <w:sz w:val="22"/>
              </w:rPr>
              <w:t>Streaming ad ARPU improvement</w:t>
            </w:r>
          </w:p>
        </w:tc>
        <w:tc>
          <w:tcPr>
            <w:tcW w:type="dxa" w:w="2160"/>
          </w:tcPr>
          <w:p>
            <w:r>
              <w:rPr>
                <w:rFonts w:ascii="Calibri" w:hAnsi="Calibri"/>
                <w:b/>
                <w:color w:val="30A46C"/>
                <w:sz w:val="22"/>
              </w:rPr>
              <w:t>Positive</w:t>
            </w:r>
          </w:p>
        </w:tc>
        <w:tc>
          <w:tcPr>
            <w:tcW w:type="dxa" w:w="2160"/>
          </w:tcPr>
          <w:p>
            <w:r>
              <w:rPr>
                <w:rFonts w:ascii="Calibri" w:hAnsi="Calibri"/>
                <w:sz w:val="22"/>
              </w:rPr>
              <w:t>Netflix Q2, Comcast Q2</w:t>
            </w:r>
          </w:p>
        </w:tc>
        <w:tc>
          <w:tcPr>
            <w:tcW w:type="dxa" w:w="2160"/>
          </w:tcPr>
          <w:p>
            <w:r>
              <w:rPr>
                <w:rFonts w:ascii="Calibri" w:hAnsi="Calibri"/>
                <w:sz w:val="22"/>
              </w:rPr>
              <w:t>Tailwind for Max ad-supported tier; WBD reported 19% ad rev growth in Q1</w:t>
            </w:r>
          </w:p>
        </w:tc>
      </w:tr>
      <w:tr>
        <w:tc>
          <w:tcPr>
            <w:tcW w:type="dxa" w:w="2160"/>
          </w:tcPr>
          <w:p>
            <w:r>
              <w:rPr>
                <w:rFonts w:ascii="Calibri" w:hAnsi="Calibri"/>
                <w:sz w:val="22"/>
              </w:rPr>
              <w:t>Streaming pricing power</w:t>
            </w:r>
          </w:p>
        </w:tc>
        <w:tc>
          <w:tcPr>
            <w:tcW w:type="dxa" w:w="2160"/>
          </w:tcPr>
          <w:p>
            <w:r>
              <w:rPr>
                <w:rFonts w:ascii="Calibri" w:hAnsi="Calibri"/>
                <w:b/>
                <w:color w:val="30A46C"/>
                <w:sz w:val="22"/>
              </w:rPr>
              <w:t>Positive</w:t>
            </w:r>
          </w:p>
        </w:tc>
        <w:tc>
          <w:tcPr>
            <w:tcW w:type="dxa" w:w="2160"/>
          </w:tcPr>
          <w:p>
            <w:r>
              <w:rPr>
                <w:rFonts w:ascii="Calibri" w:hAnsi="Calibri"/>
                <w:sz w:val="22"/>
              </w:rPr>
              <w:t>Netflix Q2</w:t>
            </w:r>
          </w:p>
        </w:tc>
        <w:tc>
          <w:tcPr>
            <w:tcW w:type="dxa" w:w="2160"/>
          </w:tcPr>
          <w:p>
            <w:r>
              <w:rPr>
                <w:rFonts w:ascii="Calibri" w:hAnsi="Calibri"/>
                <w:sz w:val="22"/>
              </w:rPr>
              <w:t>Supports WBD's ability to raise Max prices without material churn</w:t>
            </w:r>
          </w:p>
        </w:tc>
      </w:tr>
      <w:tr>
        <w:tc>
          <w:tcPr>
            <w:tcW w:type="dxa" w:w="2160"/>
          </w:tcPr>
          <w:p>
            <w:r>
              <w:rPr>
                <w:rFonts w:ascii="Calibri" w:hAnsi="Calibri"/>
                <w:sz w:val="22"/>
              </w:rPr>
              <w:t>Streaming profitability inflection</w:t>
            </w:r>
          </w:p>
        </w:tc>
        <w:tc>
          <w:tcPr>
            <w:tcW w:type="dxa" w:w="2160"/>
          </w:tcPr>
          <w:p>
            <w:r>
              <w:rPr>
                <w:rFonts w:ascii="Calibri" w:hAnsi="Calibri"/>
                <w:b/>
                <w:color w:val="30A46C"/>
                <w:sz w:val="22"/>
              </w:rPr>
              <w:t>Positive</w:t>
            </w:r>
          </w:p>
        </w:tc>
        <w:tc>
          <w:tcPr>
            <w:tcW w:type="dxa" w:w="2160"/>
          </w:tcPr>
          <w:p>
            <w:r>
              <w:rPr>
                <w:rFonts w:ascii="Calibri" w:hAnsi="Calibri"/>
                <w:sz w:val="22"/>
              </w:rPr>
              <w:t>Comcast Q2, Disney FQ3</w:t>
            </w:r>
          </w:p>
        </w:tc>
        <w:tc>
          <w:tcPr>
            <w:tcW w:type="dxa" w:w="2160"/>
          </w:tcPr>
          <w:p>
            <w:r>
              <w:rPr>
                <w:rFonts w:ascii="Calibri" w:hAnsi="Calibri"/>
                <w:sz w:val="22"/>
              </w:rPr>
              <w:t>Validates WBD's streaming EBITDA trajectory; Max is ahead of both peers</w:t>
            </w:r>
          </w:p>
        </w:tc>
      </w:tr>
      <w:tr>
        <w:tc>
          <w:tcPr>
            <w:tcW w:type="dxa" w:w="2160"/>
          </w:tcPr>
          <w:p>
            <w:r>
              <w:rPr>
                <w:rFonts w:ascii="Calibri" w:hAnsi="Calibri"/>
                <w:sz w:val="22"/>
              </w:rPr>
              <w:t>HBO Max bundle stickiness</w:t>
            </w:r>
          </w:p>
        </w:tc>
        <w:tc>
          <w:tcPr>
            <w:tcW w:type="dxa" w:w="2160"/>
          </w:tcPr>
          <w:p>
            <w:r>
              <w:rPr>
                <w:rFonts w:ascii="Calibri" w:hAnsi="Calibri"/>
                <w:b/>
                <w:color w:val="30A46C"/>
                <w:sz w:val="22"/>
              </w:rPr>
              <w:t>Positive</w:t>
            </w:r>
          </w:p>
        </w:tc>
        <w:tc>
          <w:tcPr>
            <w:tcW w:type="dxa" w:w="2160"/>
          </w:tcPr>
          <w:p>
            <w:r>
              <w:rPr>
                <w:rFonts w:ascii="Calibri" w:hAnsi="Calibri"/>
                <w:sz w:val="22"/>
              </w:rPr>
              <w:t>Disney FQ3</w:t>
            </w:r>
          </w:p>
        </w:tc>
        <w:tc>
          <w:tcPr>
            <w:tcW w:type="dxa" w:w="2160"/>
          </w:tcPr>
          <w:p>
            <w:r>
              <w:rPr>
                <w:rFonts w:ascii="Calibri" w:hAnsi="Calibri"/>
                <w:sz w:val="22"/>
              </w:rPr>
              <w:t>Direct validation; Disney explicitly called out lower churn on bundled subs</w:t>
            </w:r>
          </w:p>
        </w:tc>
      </w:tr>
      <w:tr>
        <w:tc>
          <w:tcPr>
            <w:tcW w:type="dxa" w:w="2160"/>
          </w:tcPr>
          <w:p>
            <w:r>
              <w:rPr>
                <w:rFonts w:ascii="Calibri" w:hAnsi="Calibri"/>
                <w:sz w:val="22"/>
              </w:rPr>
              <w:t>Theatrical market health</w:t>
            </w:r>
          </w:p>
        </w:tc>
        <w:tc>
          <w:tcPr>
            <w:tcW w:type="dxa" w:w="2160"/>
          </w:tcPr>
          <w:p>
            <w:r>
              <w:rPr>
                <w:rFonts w:ascii="Calibri" w:hAnsi="Calibri"/>
                <w:b/>
                <w:color w:val="30A46C"/>
                <w:sz w:val="22"/>
              </w:rPr>
              <w:t>Positive</w:t>
            </w:r>
          </w:p>
        </w:tc>
        <w:tc>
          <w:tcPr>
            <w:tcW w:type="dxa" w:w="2160"/>
          </w:tcPr>
          <w:p>
            <w:r>
              <w:rPr>
                <w:rFonts w:ascii="Calibri" w:hAnsi="Calibri"/>
                <w:sz w:val="22"/>
              </w:rPr>
              <w:t>Comcast Q2, Disney FQ3</w:t>
            </w:r>
          </w:p>
        </w:tc>
        <w:tc>
          <w:tcPr>
            <w:tcW w:type="dxa" w:w="2160"/>
          </w:tcPr>
          <w:p>
            <w:r>
              <w:rPr>
                <w:rFonts w:ascii="Calibri" w:hAnsi="Calibri"/>
                <w:sz w:val="22"/>
              </w:rPr>
              <w:t>Healthy theatrical environment supports WBD's Q2 studio slate</w:t>
            </w:r>
          </w:p>
        </w:tc>
      </w:tr>
      <w:tr>
        <w:tc>
          <w:tcPr>
            <w:tcW w:type="dxa" w:w="2160"/>
          </w:tcPr>
          <w:p>
            <w:r>
              <w:rPr>
                <w:rFonts w:ascii="Calibri" w:hAnsi="Calibri"/>
                <w:sz w:val="22"/>
              </w:rPr>
              <w:t>Streaming ad pricing pressure</w:t>
            </w:r>
          </w:p>
        </w:tc>
        <w:tc>
          <w:tcPr>
            <w:tcW w:type="dxa" w:w="2160"/>
          </w:tcPr>
          <w:p>
            <w:r>
              <w:rPr>
                <w:rFonts w:ascii="Calibri" w:hAnsi="Calibri"/>
                <w:b/>
                <w:color w:val="E5484D"/>
                <w:sz w:val="22"/>
              </w:rPr>
              <w:t>Negative</w:t>
            </w:r>
          </w:p>
        </w:tc>
        <w:tc>
          <w:tcPr>
            <w:tcW w:type="dxa" w:w="2160"/>
          </w:tcPr>
          <w:p>
            <w:r>
              <w:rPr>
                <w:rFonts w:ascii="Calibri" w:hAnsi="Calibri"/>
                <w:sz w:val="22"/>
              </w:rPr>
              <w:t>Disney FQ3</w:t>
            </w:r>
          </w:p>
        </w:tc>
        <w:tc>
          <w:tcPr>
            <w:tcW w:type="dxa" w:w="2160"/>
          </w:tcPr>
          <w:p>
            <w:r>
              <w:rPr>
                <w:rFonts w:ascii="Calibri" w:hAnsi="Calibri"/>
                <w:sz w:val="22"/>
              </w:rPr>
              <w:t>"Competitive in streaming" with pricing pressure; headwind for Max ad ARPU</w:t>
            </w:r>
          </w:p>
        </w:tc>
      </w:tr>
      <w:tr>
        <w:tc>
          <w:tcPr>
            <w:tcW w:type="dxa" w:w="2160"/>
          </w:tcPr>
          <w:p>
            <w:r>
              <w:rPr>
                <w:rFonts w:ascii="Calibri" w:hAnsi="Calibri"/>
                <w:sz w:val="22"/>
              </w:rPr>
              <w:t>Consumer sentiment softening</w:t>
            </w:r>
          </w:p>
        </w:tc>
        <w:tc>
          <w:tcPr>
            <w:tcW w:type="dxa" w:w="2160"/>
          </w:tcPr>
          <w:p>
            <w:r>
              <w:rPr>
                <w:rFonts w:ascii="Calibri" w:hAnsi="Calibri"/>
                <w:b/>
                <w:color w:val="E5484D"/>
                <w:sz w:val="22"/>
              </w:rPr>
              <w:t>Negative</w:t>
            </w:r>
          </w:p>
        </w:tc>
        <w:tc>
          <w:tcPr>
            <w:tcW w:type="dxa" w:w="2160"/>
          </w:tcPr>
          <w:p>
            <w:r>
              <w:rPr>
                <w:rFonts w:ascii="Calibri" w:hAnsi="Calibri"/>
                <w:sz w:val="22"/>
              </w:rPr>
              <w:t>Comcast Q2</w:t>
            </w:r>
          </w:p>
        </w:tc>
        <w:tc>
          <w:tcPr>
            <w:tcW w:type="dxa" w:w="2160"/>
          </w:tcPr>
          <w:p>
            <w:r>
              <w:rPr>
                <w:rFonts w:ascii="Calibri" w:hAnsi="Calibri"/>
                <w:sz w:val="22"/>
              </w:rPr>
              <w:t>Macro headwind for discretionary entertainment; parks softness continuing into Q3</w:t>
            </w:r>
          </w:p>
        </w:tc>
      </w:tr>
      <w:tr>
        <w:tc>
          <w:tcPr>
            <w:tcW w:type="dxa" w:w="2160"/>
          </w:tcPr>
          <w:p>
            <w:r>
              <w:rPr>
                <w:rFonts w:ascii="Calibri" w:hAnsi="Calibri"/>
                <w:sz w:val="22"/>
              </w:rPr>
              <w:t>Industry consolidation endorsement</w:t>
            </w:r>
          </w:p>
        </w:tc>
        <w:tc>
          <w:tcPr>
            <w:tcW w:type="dxa" w:w="2160"/>
          </w:tcPr>
          <w:p>
            <w:r>
              <w:rPr>
                <w:rFonts w:ascii="Calibri" w:hAnsi="Calibri"/>
                <w:b/>
                <w:color w:val="30A46C"/>
                <w:sz w:val="22"/>
              </w:rPr>
              <w:t>Positive</w:t>
            </w:r>
          </w:p>
        </w:tc>
        <w:tc>
          <w:tcPr>
            <w:tcW w:type="dxa" w:w="2160"/>
          </w:tcPr>
          <w:p>
            <w:r>
              <w:rPr>
                <w:rFonts w:ascii="Calibri" w:hAnsi="Calibri"/>
                <w:sz w:val="22"/>
              </w:rPr>
              <w:t>Disney FQ3</w:t>
            </w:r>
          </w:p>
        </w:tc>
        <w:tc>
          <w:tcPr>
            <w:tcW w:type="dxa" w:w="2160"/>
          </w:tcPr>
          <w:p>
            <w:r>
              <w:rPr>
                <w:rFonts w:ascii="Calibri" w:hAnsi="Calibri"/>
                <w:sz w:val="22"/>
              </w:rPr>
              <w:t>Disney CEO explicitly endorsed M&amp;A consolidation as a "better investment backdrop"</w:t>
            </w:r>
          </w:p>
        </w:tc>
      </w:tr>
    </w:tbl>
    <w:p>
      <w:r>
        <w:rPr>
          <w:rFonts w:ascii="Calibri" w:hAnsi="Calibri"/>
          <w:i/>
          <w:color w:val="525866"/>
          <w:sz w:val="22"/>
        </w:rPr>
        <w:t>Sources: Netflix Q2 2026 Earnings Call Transcript (July 16, 2026); Comcast Q2 2026 Earnings Call Transcript (July 23, 2026); Walt Disney Company FQ3 2026 Earnings Call Transcript (August 5, 2026); Comcast Q2 2026 Earnings Release (July 23, 2026); Disney FQ3 2026 Earnings Release (August 5, 2026). All peer commentary is from the current reporting quarter (Q2 2026 calendar) or forward-looking statements issued after peers' latest earnings. Prior-quarter-only commentary has been excluded.</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