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WDC before writing the preview. Let me start by gathering recent filings, transcripts, news, and price data.I notice the fiscal calendar: WDC reports FY2026 Q4 tomorrow. I have transcripts through FY2026 Q3 (April 2026). Note the price tool returned 2025-dated data. Let me read the most recent earnings materials and try to get current-year data.I have strong fundamental data through Q3 FY26. Now let me get current-year context: analyst expectations for tomorrow, recent news/read-through from Seagate, and try 2026 price data.The price tool has 2026 data — WDC has been on a massive run. Let me fix the web search parsing.Let me get the Seagate read-through and more detail on the setup and estimates.I now have everything I need. Let me compile a few price statistics before writing.Here is the earnings preview.</w:t>
      </w:r>
    </w:p>
    <w:p>
      <w:r>
        <w:pict>
          <v:rect style="width:0;height:1.5pt" o:hralign="center" o:hrstd="t" o:hr="t"/>
        </w:pict>
      </w:r>
    </w:p>
    <w:bookmarkStart w:id="16" w:name="X92818797ecf8858c4d1c28abc9b4ec56fb16299"/>
    <w:p>
      <w:pPr>
        <w:pStyle w:val="Heading1"/>
      </w:pPr>
      <w:r>
        <w:t xml:space="preserve">Western Digital (WDC) — FY2026 Q4 Earnings Preview</w:t>
      </w:r>
    </w:p>
    <w:bookmarkStart w:id="9" w:name="Xdaa1f4bcf478360f9871a10e0aed60fe8b59149"/>
    <w:p>
      <w:pPr>
        <w:pStyle w:val="Heading3"/>
      </w:pPr>
      <w:r>
        <w:t xml:space="preserve">Reports after the close, Wednesday, August 5, 2026 (fiscal Q4/full-year FY26)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WDC reports into one of the highest-expectations tape it has ever faced. This is now a</w:t>
      </w:r>
      <w:r>
        <w:t xml:space="preserve"> </w:t>
      </w:r>
      <w:r>
        <w:rPr>
          <w:b/>
          <w:bCs/>
        </w:rPr>
        <w:t xml:space="preserve">pure-play, post-SanDisk HDD company</w:t>
      </w:r>
      <w:r>
        <w:t xml:space="preserve"> </w:t>
      </w:r>
      <w:r>
        <w:t xml:space="preserve">riding a structural AI-storage upcycle, and the stock reflects it — shares are up roughly</w:t>
      </w:r>
      <w:r>
        <w:t xml:space="preserve"> </w:t>
      </w:r>
      <w:r>
        <w:rPr>
          <w:b/>
          <w:bCs/>
        </w:rPr>
        <w:t xml:space="preserve">610% over the past year</w:t>
      </w:r>
      <w:r>
        <w:t xml:space="preserve"> </w:t>
      </w:r>
      <w:r>
        <w:t xml:space="preserve">(from ~</w:t>
      </w:r>
      <m:oMath>
        <m:r>
          <m:t>77</m:t>
        </m:r>
        <m:r>
          <m:t>t</m:t>
        </m:r>
        <m:r>
          <m:t>o</m:t>
        </m:r>
        <m:r>
          <m:t> </m:t>
        </m:r>
      </m:oMath>
      <w:r>
        <w:t xml:space="preserve">549), though they sit **~26% below the June 18 peak of $746**. The key question tomorrow isn't whether the quarter is good — it almost certainly is — but whether the results and forward commentary are good</w:t>
      </w:r>
      <w:r>
        <w:t xml:space="preserve"> </w:t>
      </w:r>
      <w:r>
        <w:rPr>
          <w:i/>
          <w:iCs/>
        </w:rPr>
        <w:t xml:space="preserve">enough</w:t>
      </w:r>
      <w:r>
        <w:t xml:space="preserve"> </w:t>
      </w:r>
      <w:r>
        <w:t xml:space="preserve">to re-rate a stock that has already priced in a lot.</w:t>
      </w:r>
    </w:p>
    <w:p>
      <w:r>
        <w:pict>
          <v:rect style="width:0;height:1.5pt" o:hralign="center" o:hrstd="t" o:hr="t"/>
        </w:pict>
      </w:r>
    </w:p>
    <w:bookmarkEnd w:id="10"/>
    <w:bookmarkStart w:id="11" w:name="X22d44d25487600dcc6f8457a4c03ac239a4a672"/>
    <w:p>
      <w:pPr>
        <w:pStyle w:val="Heading2"/>
      </w:pPr>
      <w:r>
        <w:t xml:space="preserve">What management guided to (the bar to clear)</w:t>
      </w:r>
    </w:p>
    <w:p>
      <w:pPr>
        <w:pStyle w:val="FirstParagraph"/>
      </w:pPr>
      <w:r>
        <w:t xml:space="preserve">On the Q3 call (April 30, 2026), CFO Kris Sennesael guided Q4FY26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$3.65B ± $100M</w:t>
            </w:r>
            <w:r>
              <w:t xml:space="preserve"> </w:t>
            </w:r>
            <w:r>
              <w:t xml:space="preserve">(≈ +40% YoY at midpoint; +36–44% YoY)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51% – 52%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expenses</w:t>
            </w:r>
          </w:p>
        </w:tc>
        <w:tc>
          <w:tcPr/>
          <w:p>
            <w:pPr>
              <w:pStyle w:val="Compact"/>
            </w:pPr>
            <w:r>
              <w:t xml:space="preserve">$385M – $395M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Interest &amp; other expense</w:t>
            </w:r>
          </w:p>
        </w:tc>
        <w:tc>
          <w:tcPr/>
          <w:p>
            <w:pPr>
              <w:pStyle w:val="Compact"/>
            </w:pPr>
            <w:r>
              <w:t xml:space="preserve">~$10M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 rate</w:t>
            </w:r>
          </w:p>
        </w:tc>
        <w:tc>
          <w:tcPr/>
          <w:p>
            <w:pPr>
              <w:pStyle w:val="Compact"/>
            </w:pPr>
            <w:r>
              <w:t xml:space="preserve">~16%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$3.25 ± $0.15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share count</w:t>
            </w:r>
          </w:p>
        </w:tc>
        <w:tc>
          <w:tcPr/>
          <w:p>
            <w:pPr>
              <w:pStyle w:val="Compact"/>
            </w:pPr>
            <w:r>
              <w:t xml:space="preserve">~385M</w:t>
            </w:r>
          </w:p>
        </w:tc>
      </w:tr>
    </w:tbl>
    <w:p>
      <w:pPr>
        <w:pStyle w:val="BodyText"/>
      </w:pPr>
      <w:r>
        <w:rPr>
          <w:b/>
          <w:bCs/>
        </w:rPr>
        <w:t xml:space="preserve">Street consensus sits at the high end / slightly above:</w:t>
      </w:r>
      <w:r>
        <w:t xml:space="preserve"> </w:t>
      </w:r>
      <w:r>
        <w:t xml:space="preserve">revenue ~</w:t>
      </w:r>
      <m:oMath>
        <m:r>
          <m:t>3.65</m:t>
        </m:r>
        <m:r>
          <m:t>B</m:t>
        </m:r>
        <m:r>
          <m:t>a</m:t>
        </m:r>
        <m:r>
          <m:t>n</m:t>
        </m:r>
        <m:r>
          <m:t>d</m:t>
        </m:r>
        <m:r>
          <m:t>n</m:t>
        </m:r>
        <m:r>
          <m:t>o</m:t>
        </m:r>
        <m:r>
          <m:t>n</m:t>
        </m:r>
        <m:r>
          <m:rPr>
            <m:sty m:val="p"/>
          </m:rPr>
          <m:t>−</m:t>
        </m:r>
        <m:r>
          <m:t>G</m:t>
        </m:r>
        <m:r>
          <m:t>A</m:t>
        </m:r>
        <m:r>
          <m:t>A</m:t>
        </m:r>
        <m:r>
          <m:t>P</m:t>
        </m:r>
        <m:r>
          <m:t>E</m:t>
        </m:r>
        <m:r>
          <m:t>P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3.31–$3.35** (Zacks $3.35, TipRanks $3.31). Note the recent beat cadence — last quarter WDC reported $2.72 vs. a $2.39 consensus and</w:t>
      </w:r>
      <w:r>
        <w:t xml:space="preserve"> </w:t>
      </w:r>
      <m:oMath>
        <m:r>
          <m:t>3.34</m:t>
        </m:r>
        <m:r>
          <m:t>B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v</m:t>
        </m:r>
        <m:r>
          <m:t>s</m:t>
        </m:r>
        <m:r>
          <m:rPr>
            <m:sty m:val="p"/>
          </m:rPr>
          <m:t>.</m:t>
        </m:r>
        <m:r>
          <m:t> </m:t>
        </m:r>
      </m:oMath>
      <w:r>
        <w:t xml:space="preserve">3.25B expected. The market is clearly conditioned to expect a beat-and-raise, which raises the risk of a "good but not enough" reaction.</w:t>
      </w:r>
    </w:p>
    <w:p>
      <w:r>
        <w:pict>
          <v:rect style="width:0;height:1.5pt" o:hralign="center" o:hrstd="t" o:hr="t"/>
        </w:pict>
      </w:r>
    </w:p>
    <w:bookmarkEnd w:id="11"/>
    <w:bookmarkStart w:id="12" w:name="Xf3da951d425323fb6c33ffd0d99d1b720f59e39"/>
    <w:p>
      <w:pPr>
        <w:pStyle w:val="Heading2"/>
      </w:pPr>
      <w:r>
        <w:t xml:space="preserve">The Seagate read-through (why the whisper is high)</w:t>
      </w:r>
    </w:p>
    <w:p>
      <w:pPr>
        <w:pStyle w:val="FirstParagraph"/>
      </w:pPr>
      <w:r>
        <w:t xml:space="preserve">Seagate reported fiscal Q4 on July 28 and set a bullish tone for the whole HDD complex:</w:t>
      </w:r>
    </w:p>
    <w:p>
      <w:pPr>
        <w:pStyle w:val="Compact"/>
        <w:numPr>
          <w:ilvl w:val="0"/>
          <w:numId w:val="1001"/>
        </w:numPr>
      </w:pPr>
      <w:r>
        <w:t xml:space="preserve">Revenue</w:t>
      </w:r>
      <w:r>
        <w:t xml:space="preserve"> </w:t>
      </w:r>
      <w:r>
        <w:rPr>
          <w:b/>
          <w:bCs/>
        </w:rPr>
        <w:t xml:space="preserve">~</w:t>
      </w:r>
      <m:oMath>
        <m:r>
          <m:t>3.6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rPr>
            <m:sty m:val="p"/>
          </m:rPr>
          <m:t>+</m:t>
        </m:r>
        <m:r>
          <m:t> </m:t>
        </m:r>
        <m:r>
          <m:t>48</m:t>
        </m:r>
      </m:oMath>
      <w:r>
        <w:rPr>
          <w:b/>
          <w:bCs/>
        </w:rPr>
        <w:t xml:space="preserve">5.71 vs. ~$5.10 consensus</w:t>
      </w:r>
      <w:r>
        <w:t xml:space="preserve"> </w:t>
      </w:r>
      <w:r>
        <w:t xml:space="preserve">— a large beat.</w:t>
      </w:r>
    </w:p>
    <w:p>
      <w:pPr>
        <w:pStyle w:val="Compact"/>
        <w:numPr>
          <w:ilvl w:val="0"/>
          <w:numId w:val="1001"/>
        </w:numPr>
      </w:pPr>
      <w:r>
        <w:t xml:space="preserve">More importantly, Seagate</w:t>
      </w:r>
      <w:r>
        <w:t xml:space="preserve"> </w:t>
      </w:r>
      <w:r>
        <w:rPr>
          <w:b/>
          <w:bCs/>
        </w:rPr>
        <w:t xml:space="preserve">guided next-quarter EPS to ~$7.30</w:t>
      </w:r>
      <w:r>
        <w:t xml:space="preserve">, and flagged</w:t>
      </w:r>
      <w:r>
        <w:t xml:space="preserve"> </w:t>
      </w:r>
      <w:r>
        <w:rPr>
          <w:b/>
          <w:bCs/>
        </w:rPr>
        <w:t xml:space="preserve">HAMR (Mozaic) adoption reaching ~40%</w:t>
      </w:r>
      <w:r>
        <w:t xml:space="preserve"> </w:t>
      </w:r>
      <w:r>
        <w:t xml:space="preserve">of exabytes.</w:t>
      </w:r>
    </w:p>
    <w:p>
      <w:pPr>
        <w:pStyle w:val="FirstParagraph"/>
      </w:pPr>
      <w:r>
        <w:t xml:space="preserve">WDC shares reacted directly — the stock</w:t>
      </w:r>
      <w:r>
        <w:t xml:space="preserve"> </w:t>
      </w:r>
      <w:r>
        <w:rPr>
          <w:b/>
          <w:bCs/>
        </w:rPr>
        <w:t xml:space="preserve">jumped ~15% on July 30</w:t>
      </w:r>
      <w:r>
        <w:t xml:space="preserve"> </w:t>
      </w:r>
      <w:r>
        <w:t xml:space="preserve">(to $533 from</w:t>
      </w:r>
      <w:r>
        <w:t xml:space="preserve"> </w:t>
      </w:r>
      <m:oMath>
        <m:r>
          <m:t>462</m:t>
        </m:r>
        <m:r>
          <m:rPr>
            <m:sty m:val="p"/>
          </m:rPr>
          <m:t>)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d</m:t>
        </m:r>
        <m:r>
          <m:t>a</m:t>
        </m:r>
        <m:r>
          <m:t>y</m:t>
        </m:r>
        <m:r>
          <m:t>s</m:t>
        </m:r>
        <m:r>
          <m:t>a</m:t>
        </m:r>
        <m:r>
          <m:t>f</m:t>
        </m:r>
        <m:r>
          <m:t>t</m:t>
        </m:r>
        <m:r>
          <m:t>e</m:t>
        </m:r>
        <m:r>
          <m:t>r</m:t>
        </m:r>
        <m:r>
          <m:t>S</m:t>
        </m:r>
        <m:r>
          <m:t>e</m:t>
        </m:r>
        <m:r>
          <m:t>a</m:t>
        </m:r>
        <m:r>
          <m:t>g</m:t>
        </m:r>
        <m:r>
          <m:t>a</m:t>
        </m:r>
        <m:r>
          <m:t>t</m:t>
        </m:r>
        <m:sSup>
          <m:e>
            <m:r>
              <m:t>e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p</m:t>
        </m:r>
        <m:r>
          <m:t>r</m:t>
        </m:r>
        <m:r>
          <m:t>i</m:t>
        </m:r>
        <m:r>
          <m:t>n</m:t>
        </m:r>
        <m:r>
          <m:t>t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h</m:t>
        </m:r>
        <m:r>
          <m:t>a</m:t>
        </m:r>
        <m:r>
          <m:t>s</m:t>
        </m:r>
        <m:r>
          <m:t>s</m:t>
        </m:r>
        <m:r>
          <m:t>i</m:t>
        </m:r>
        <m:r>
          <m:t>n</m:t>
        </m:r>
        <m:r>
          <m:t>c</m:t>
        </m:r>
        <m:r>
          <m:t>e</m:t>
        </m:r>
        <m:r>
          <m:t>f</m:t>
        </m:r>
        <m:r>
          <m:t>i</m:t>
        </m:r>
        <m:r>
          <m:t>r</m:t>
        </m:r>
        <m:r>
          <m:t>m</m:t>
        </m:r>
        <m:r>
          <m:t>e</m:t>
        </m:r>
        <m:r>
          <m:t>d</m:t>
        </m:r>
        <m:r>
          <m:t>t</m:t>
        </m:r>
        <m:r>
          <m:t>o</m:t>
        </m:r>
        <m:r>
          <m:t> </m:t>
        </m:r>
      </m:oMath>
      <w:r>
        <w:t xml:space="preserve">549. That means a chunk of the "good news" may already be in the stock going into tomorrow.</w:t>
      </w:r>
    </w:p>
    <w:p>
      <w:r>
        <w:pict>
          <v:rect style="width:0;height:1.5pt" o:hralign="center" o:hrstd="t" o:hr="t"/>
        </w:pict>
      </w:r>
    </w:p>
    <w:bookmarkEnd w:id="12"/>
    <w:bookmarkStart w:id="13" w:name="Xaf14f19226b8d670771116ce55aeb91dea0a1da"/>
    <w:p>
      <w:pPr>
        <w:pStyle w:val="Heading2"/>
      </w:pPr>
      <w:r>
        <w:t xml:space="preserve">Where WDC stood exiting Q3 FY26 (last reported quarter)</w:t>
      </w:r>
    </w:p>
    <w:p>
      <w:pPr>
        <w:pStyle w:val="FirstParagraph"/>
      </w:pPr>
      <w:r>
        <w:t xml:space="preserve">The momentum is unambiguous: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 $3.34B, +45% YoY / +11% QoQ</w:t>
      </w:r>
      <w:r>
        <w:t xml:space="preserve">, above the high end of guidance.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Non-GAAP gross margin 50.5%</w:t>
      </w:r>
      <w:r>
        <w:t xml:space="preserve"> </w:t>
      </w:r>
      <w:r>
        <w:t xml:space="preserve">— first break above 50% — up</w:t>
      </w:r>
      <w:r>
        <w:t xml:space="preserve"> </w:t>
      </w:r>
      <w:r>
        <w:rPr>
          <w:b/>
          <w:bCs/>
        </w:rPr>
        <w:t xml:space="preserve">440 bps QoQ and 1,040 bps YoY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Non-GAAP EPS $2.72, +97% YoY</w:t>
      </w:r>
      <w:r>
        <w:t xml:space="preserve">; non-GAAP operating margin</w:t>
      </w:r>
      <w:r>
        <w:t xml:space="preserve"> </w:t>
      </w:r>
      <w:r>
        <w:rPr>
          <w:b/>
          <w:bCs/>
        </w:rPr>
        <w:t xml:space="preserve">38.6%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222 exabytes shipped, +34% YoY</w:t>
      </w:r>
      <w:r>
        <w:t xml:space="preserve">; pricing</w:t>
      </w:r>
      <w:r>
        <w:t xml:space="preserve"> </w:t>
      </w:r>
      <w:r>
        <w:rPr>
          <w:b/>
          <w:bCs/>
        </w:rPr>
        <w:t xml:space="preserve">+9% YoY per TB</w:t>
      </w:r>
      <w:r>
        <w:t xml:space="preserve">; cost per exabyte</w:t>
      </w:r>
      <w:r>
        <w:t xml:space="preserve"> </w:t>
      </w:r>
      <w:r>
        <w:rPr>
          <w:b/>
          <w:bCs/>
        </w:rPr>
        <w:t xml:space="preserve">down ~10% YoY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Mix is overwhelmingly cloud: **Cloud 89% of revenue (</w:t>
      </w:r>
      <m:oMath>
        <m:r>
          <m:t>3.0</m:t>
        </m:r>
        <m:r>
          <m:t>B</m:t>
        </m:r>
        <m:r>
          <m:rPr>
            <m:sty m:val="p"/>
          </m:rPr>
          <m:t>,</m:t>
        </m:r>
        <m:r>
          <m:rPr>
            <m:sty m:val="p"/>
          </m:rPr>
          <m:t>+</m:t>
        </m:r>
        <m:r>
          <m:t>48</m:t>
        </m:r>
      </m:oMath>
      <w:r>
        <w:t xml:space="preserve">186M), Client 5% ($179M).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FCF $978M (29% margin)</w:t>
      </w:r>
      <w:r>
        <w:t xml:space="preserve">, OCF $1.12B on just $145M of capex.</w:t>
      </w:r>
    </w:p>
    <w:p>
      <w:pPr>
        <w:pStyle w:val="FirstParagraph"/>
      </w:pPr>
      <w:r>
        <w:rPr>
          <w:b/>
          <w:bCs/>
        </w:rPr>
        <w:t xml:space="preserve">Balance sheet transformed:</w:t>
      </w:r>
      <w:r>
        <w:t xml:space="preserve"> </w:t>
      </w:r>
      <w:r>
        <w:t xml:space="preserve">monetizing 5.8M SanDisk shares cut debt by</w:t>
      </w:r>
      <w:r>
        <w:t xml:space="preserve"> </w:t>
      </w:r>
      <m:oMath>
        <m:r>
          <m:t>3.1</m:t>
        </m:r>
        <m:r>
          <m:t>B</m:t>
        </m:r>
        <m:r>
          <m:rPr>
            <m:sty m:val="p"/>
          </m:rPr>
          <m:t>,</m:t>
        </m:r>
        <m:r>
          <m:t>l</m:t>
        </m:r>
        <m:r>
          <m:t>e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o</m:t>
        </m:r>
        <m:r>
          <m:t>n</m:t>
        </m:r>
        <m:r>
          <m:t>l</m:t>
        </m:r>
        <m:r>
          <m:t>y</m:t>
        </m:r>
        <m:r>
          <m:t> </m:t>
        </m:r>
      </m:oMath>
      <w:r>
        <w:t xml:space="preserve">1.6B convertibles and a **net cash position (~+</w:t>
      </w:r>
      <w:r>
        <w:t xml:space="preserve">$450M)**; WDC earned **investment-grade upgrades from S&amp;P and Fitch**. Capital returns are ramping — **$</w:t>
      </w:r>
      <w:r>
        <w:t xml:space="preserve">752M of buybacks +</w:t>
      </w:r>
      <w:r>
        <w:t xml:space="preserve"> </w:t>
      </w:r>
      <m:oMath>
        <m:r>
          <m:t>43</m:t>
        </m:r>
        <m:r>
          <m:t>M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t>s</m:t>
        </m:r>
        <m:r>
          <m:t>i</m:t>
        </m:r>
        <m:r>
          <m:t>n</m:t>
        </m:r>
        <m:r>
          <m:t>Q</m:t>
        </m:r>
        <m:r>
          <m:t>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 </m:t>
        </m:r>
      </m:oMath>
      <w:r>
        <w:t xml:space="preserve">2.2B returned since the program began in Q4FY25, and the</w:t>
      </w:r>
      <w:r>
        <w:t xml:space="preserve"> </w:t>
      </w:r>
      <w:r>
        <w:rPr>
          <w:b/>
          <w:bCs/>
        </w:rPr>
        <w:t xml:space="preserve">dividend was raised 20% to $0.15/quarter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Start w:id="14" w:name="Xa26367f2a5be752292eb01515ae080395d7a0f9"/>
    <w:p>
      <w:pPr>
        <w:pStyle w:val="Heading2"/>
      </w:pPr>
      <w:r>
        <w:t xml:space="preserve">What matters most tomorrow (key watch items)</w:t>
      </w:r>
    </w:p>
    <w:p>
      <w:pPr>
        <w:pStyle w:val="FirstParagraph"/>
      </w:pPr>
      <w:r>
        <w:rPr>
          <w:b/>
          <w:bCs/>
        </w:rPr>
        <w:t xml:space="preserve">1. The FY27 outlook / any first look at next year.</w:t>
      </w:r>
      <w:r>
        <w:t xml:space="preserve"> </w:t>
      </w:r>
      <w:r>
        <w:t xml:space="preserve">With Seagate already guiding to a ~$7.30 EPS quarter, investors will want WDC to frame the trajectory beyond Q4. Management has said LTAs now extend into</w:t>
      </w:r>
      <w:r>
        <w:t xml:space="preserve"> </w:t>
      </w:r>
      <w:r>
        <w:rPr>
          <w:b/>
          <w:bCs/>
        </w:rPr>
        <w:t xml:space="preserve">calendar 2028 and 2029</w:t>
      </w:r>
      <w:r>
        <w:t xml:space="preserve">, and reiterated conviction in</w:t>
      </w:r>
      <w:r>
        <w:t xml:space="preserve"> </w:t>
      </w:r>
      <w:r>
        <w:rPr>
          <w:b/>
          <w:bCs/>
        </w:rPr>
        <w:t xml:space="preserve">&gt;25% long-term exabyte CAGR</w:t>
      </w:r>
      <w:r>
        <w:t xml:space="preserve">. Concrete commentary on CY27 pricing/volume commitments will be the swing factor for the stock.</w:t>
      </w:r>
    </w:p>
    <w:p>
      <w:pPr>
        <w:pStyle w:val="BodyText"/>
      </w:pPr>
      <w:r>
        <w:rPr>
          <w:b/>
          <w:bCs/>
        </w:rPr>
        <w:t xml:space="preserve">2. Gross margin trajectory.</w:t>
      </w:r>
      <w:r>
        <w:t xml:space="preserve"> </w:t>
      </w:r>
      <w:r>
        <w:t xml:space="preserve">WDC guided 51–52% for Q4, but incremental gross margins have been running</w:t>
      </w:r>
      <w:r>
        <w:t xml:space="preserve"> </w:t>
      </w:r>
      <w:r>
        <w:rPr>
          <w:b/>
          <w:bCs/>
        </w:rPr>
        <w:t xml:space="preserve">70–75%</w:t>
      </w:r>
      <w:r>
        <w:t xml:space="preserve">, and Seagate just printed 52.7%. A beat above the range plus signals of continued expansion toward the mid-50s would be the cleanest bull catalyst. Watch pricing durability (the "predictable pricing" LTA philosophy) and continued cost-per-exabyte declines.</w:t>
      </w:r>
    </w:p>
    <w:p>
      <w:pPr>
        <w:pStyle w:val="BodyText"/>
      </w:pPr>
      <w:r>
        <w:rPr>
          <w:b/>
          <w:bCs/>
        </w:rPr>
        <w:t xml:space="preserve">3. HAMR progress vs. Seagate.</w:t>
      </w:r>
      <w:r>
        <w:t xml:space="preserve"> </w:t>
      </w:r>
      <w:r>
        <w:t xml:space="preserve">WDC is running a</w:t>
      </w:r>
      <w:r>
        <w:t xml:space="preserve"> </w:t>
      </w:r>
      <w:r>
        <w:rPr>
          <w:b/>
          <w:bCs/>
        </w:rPr>
        <w:t xml:space="preserve">dual-track strategy</w:t>
      </w:r>
      <w:r>
        <w:t xml:space="preserve">: pushing ePMR aerial density (</w:t>
      </w:r>
      <w:r>
        <w:rPr>
          <w:b/>
          <w:bCs/>
        </w:rPr>
        <w:t xml:space="preserve">40TB next-gen ePMR into volume in 2H CY26</w:t>
      </w:r>
      <w:r>
        <w:t xml:space="preserve">) while qualifying HAMR. HAMR is</w:t>
      </w:r>
      <w:r>
        <w:t xml:space="preserve"> </w:t>
      </w:r>
      <w:r>
        <w:rPr>
          <w:b/>
          <w:bCs/>
        </w:rPr>
        <w:t xml:space="preserve">in qualification with 4 customers, said to be ahead of schedule, with volume in 2027</w:t>
      </w:r>
      <w:r>
        <w:t xml:space="preserve">. Because Seagate is already at ~40% HAMR mix, any perception that WDC is "behind" on HAMR — or reassurance that ePMR + UltraSMR keeps it cost-competitive in the interim — will move the narrative.</w:t>
      </w:r>
    </w:p>
    <w:p>
      <w:pPr>
        <w:pStyle w:val="BodyText"/>
      </w:pPr>
      <w:r>
        <w:rPr>
          <w:b/>
          <w:bCs/>
        </w:rPr>
        <w:t xml:space="preserve">4. UltraSMR adoption &amp; supply discipline.</w:t>
      </w:r>
      <w:r>
        <w:t xml:space="preserve"> </w:t>
      </w:r>
      <w:r>
        <w:t xml:space="preserve">Three of the largest customers have adopted UltraSMR; WDC targets</w:t>
      </w:r>
      <w:r>
        <w:t xml:space="preserve"> </w:t>
      </w:r>
      <w:r>
        <w:rPr>
          <w:b/>
          <w:bCs/>
        </w:rPr>
        <w:t xml:space="preserve">~60% of exabytes on UltraSMR by end of FY27</w:t>
      </w:r>
      <w:r>
        <w:t xml:space="preserve">. Critically, management insists it is</w:t>
      </w:r>
      <w:r>
        <w:t xml:space="preserve"> </w:t>
      </w:r>
      <w:r>
        <w:rPr>
          <w:b/>
          <w:bCs/>
        </w:rPr>
        <w:t xml:space="preserve">not adding unit capacity</w:t>
      </w:r>
      <w:r>
        <w:t xml:space="preserve">, only aerial density (and possibly head/media investment) — the supply-restraint story is central to the pricing bull case. Watch for any change here.</w:t>
      </w:r>
    </w:p>
    <w:p>
      <w:pPr>
        <w:pStyle w:val="BodyText"/>
      </w:pPr>
      <w:r>
        <w:rPr>
          <w:b/>
          <w:bCs/>
        </w:rPr>
        <w:t xml:space="preserve">5. Capital return &amp; the last SanDisk stake.</w:t>
      </w:r>
      <w:r>
        <w:t xml:space="preserve"> </w:t>
      </w:r>
      <w:r>
        <w:t xml:space="preserve">WDC still holds</w:t>
      </w:r>
      <w:r>
        <w:t xml:space="preserve"> </w:t>
      </w:r>
      <w:r>
        <w:rPr>
          <w:b/>
          <w:bCs/>
        </w:rPr>
        <w:t xml:space="preserve">1.7M SanDisk shares</w:t>
      </w:r>
      <w:r>
        <w:t xml:space="preserve"> </w:t>
      </w:r>
      <w:r>
        <w:t xml:space="preserve">it intends to monetize</w:t>
      </w:r>
      <w:r>
        <w:t xml:space="preserve"> </w:t>
      </w:r>
      <w:r>
        <w:rPr>
          <w:b/>
          <w:bCs/>
        </w:rPr>
        <w:t xml:space="preserve">tax-free before year-end CY26</w:t>
      </w:r>
      <w:r>
        <w:t xml:space="preserve">. Watch for another possible dividend increase, buyback pace, and how aggressively it deploys its now-&gt;30%-trending FCF margin.</w:t>
      </w:r>
    </w:p>
    <w:p>
      <w:pPr>
        <w:pStyle w:val="BodyText"/>
      </w:pPr>
      <w:r>
        <w:rPr>
          <w:b/>
          <w:bCs/>
        </w:rPr>
        <w:t xml:space="preserve">6. Demand mix / hyperscaler commentary.</w:t>
      </w:r>
      <w:r>
        <w:t xml:space="preserve"> </w:t>
      </w:r>
      <w:r>
        <w:t xml:space="preserve">Management describes broadly similar demand across its top-4 customers, with the AI "compounding loop" (training → inference → agentic → physical AI/synthetic data) as the structural driver. Any datapoint on order visibility, build-to-order coverage, or Tier-2 CSP expansion (via the UltraSMR JBOD platform) is incremental.</w:t>
      </w:r>
    </w:p>
    <w:p>
      <w:r>
        <w:pict>
          <v:rect style="width:0;height:1.5pt" o:hralign="center" o:hrstd="t" o:hr="t"/>
        </w:pict>
      </w:r>
    </w:p>
    <w:bookmarkEnd w:id="14"/>
    <w:bookmarkStart w:id="15" w:name="positioning--risk-framing"/>
    <w:p>
      <w:pPr>
        <w:pStyle w:val="Heading2"/>
      </w:pPr>
      <w:r>
        <w:t xml:space="preserve">Positioning / risk framing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Beat on revenue and margin (&gt;52% GM), an above-consensus Q1FY27 guide echoing Seagate's step-up, further capital-return escalation, and confidence on CY27–28 LTA pricing. Given the ~26% drawdown from June highs, there is room for a relief rally if the print + guide are clean.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Bear/risk case:</w:t>
      </w:r>
      <w:r>
        <w:t xml:space="preserve"> </w:t>
      </w:r>
      <w:r>
        <w:t xml:space="preserve">The stock has already run ~610% in a year and rallied 15%+ on the Seagate read-through, so the "beat-and-raise" may be discounted. A guide merely</w:t>
      </w:r>
      <w:r>
        <w:t xml:space="preserve"> </w:t>
      </w:r>
      <w:r>
        <w:rPr>
          <w:i/>
          <w:iCs/>
        </w:rPr>
        <w:t xml:space="preserve">in line</w:t>
      </w:r>
      <w:r>
        <w:t xml:space="preserve"> </w:t>
      </w:r>
      <w:r>
        <w:t xml:space="preserve">with the lofty whisper, any hint of decelerating pricing, HAMR execution wobble, or margin guidance below the ~52%+ the Street now anchors to could trigger a "sell-the-news" pullback. Valuation and elevated expectations are the primary downside risk, not fundamentals.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Fundamentals and the Seagate read-through point to another strong quarter and a Q4 that likely lands at/above the $3.65B / $3.25 EPS guide. The stock's reaction will hinge on the</w:t>
      </w:r>
      <w:r>
        <w:t xml:space="preserve"> </w:t>
      </w:r>
      <w:r>
        <w:rPr>
          <w:b/>
          <w:bCs/>
        </w:rPr>
        <w:t xml:space="preserve">forward guide and FY27 framing</w:t>
      </w:r>
      <w:r>
        <w:t xml:space="preserve"> </w:t>
      </w:r>
      <w:r>
        <w:t xml:space="preserve">— with the bar set high, WDC probably needs to beat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raise convincingly to justify further upside from here.</w:t>
      </w:r>
    </w:p>
    <w:p>
      <w:pPr>
        <w:pStyle w:val="BodyText"/>
      </w:pPr>
      <w:r>
        <w:rPr>
          <w:i/>
          <w:iCs/>
        </w:rPr>
        <w:t xml:space="preserve">Note: figures are from WDC's fiscal 2026 earnings releases/calls and public sources; consensus and Seagate comparisons are drawn from third-party reporting and should be verified against the actual release.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2026-08-05T00:47:18Z</dcterms:created>
  <dcterms:modified xsi:type="dcterms:W3CDTF">2026-08-05T00:47:18Z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