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dc-earnings-predictions--2026-08-05"/>
    <w:p>
      <w:pPr>
        <w:pStyle w:val="Heading1"/>
      </w:pPr>
      <w:r>
        <w:t xml:space="preserve">WDC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FY26 Revenue (non-GAAP)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3.78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3.69B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FY26 Diluted EPS (non-GAAP)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3.55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3.32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FY26 Gross Margin (non-GAAP, %)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~53.0% vs. cons/guide-high ~52.0%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Q1 FY27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4.00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3.85B (Q1 FY2027, quarter ending ~Sept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Q1 FY27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3.70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3.55 (Q1 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Nearline Pricing/LTA Trajectory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~9-10% YoY pricing growth vs. cons ~6-7% embedded (2H CY2026 into CY2027 LTAs)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WDC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Q4 beat is largely pre-baked given WDC's 4-quarter streak of double-digit beats and a stock that already ran +18% into the print; the real swing factor is the Q1 FY27/out-year guide. Given Seagate's read-through (nearline sold out into 2028, but STX still sold off -3.7% on its own beat-and-raise) and the deceleration math embedded in sequential revenue/EPS growth rates (Q4 guide already implies growth cooling from Q3's 45% to ~40%), any incremental guide that doesn't clear the sky-high whisper bar likely triggers sell-side model updates that trim out-quarter estimates even after a current-quarter beat. Combined with elevated valuation/positioning (5x+ TTM run, wide</w:t>
            </w:r>
            <w:r>
              <w:t xml:space="preserve"> </w:t>
            </w:r>
            <m:oMath>
              <m:r>
                <m:t>500</m:t>
              </m:r>
              <m:r>
                <m:rPr>
                  <m:sty m:val="p"/>
                </m:rPr>
                <m:t>−</m:t>
              </m:r>
            </m:oMath>
            <w:r>
              <w:t xml:space="preserve">1050 PT dispersion) and lingering China/CXMT overhang, this points to continuation of an initial negative-to-mixed reaction over the following days rather than a reversal.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2026-08-05T00:48:11Z</dcterms:created>
  <dcterms:modified xsi:type="dcterms:W3CDTF">2026-08-05T00:48:11Z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