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6" w:name="X92818797ecf8858c4d1c28abc9b4ec56fb16299"/>
    <w:p>
      <w:pPr>
        <w:pStyle w:val="Heading1"/>
      </w:pPr>
      <w:r>
        <w:t xml:space="preserve">Western Digital (WDC) — FY2026 Q4 Earnings Preview</w:t>
      </w:r>
    </w:p>
    <w:p>
      <w:pPr>
        <w:pStyle w:val="FirstParagraph"/>
      </w:pPr>
      <w:r>
        <w:rPr>
          <w:b/>
          <w:bCs/>
        </w:rPr>
        <w:t xml:space="preserve">Report Date:</w:t>
      </w:r>
      <w:r>
        <w:t xml:space="preserve"> </w:t>
      </w:r>
      <w:r>
        <w:t xml:space="preserve">August 5, 2026 (after market close) |</w:t>
      </w:r>
      <w:r>
        <w:t xml:space="preserve"> </w:t>
      </w:r>
      <w:r>
        <w:rPr>
          <w:b/>
          <w:bCs/>
        </w:rPr>
        <w:t xml:space="preserve">Fiscal Period:</w:t>
      </w:r>
      <w:r>
        <w:t xml:space="preserve"> </w:t>
      </w:r>
      <w:r>
        <w:t xml:space="preserve">Q4 FY2026 (quarter ended ~June 26, 2026)</w:t>
      </w:r>
    </w:p>
    <w:p>
      <w:r>
        <w:pict>
          <v:rect style="width:0;height:1.5pt" o:hralign="center" o:hrstd="t" o:hr="t"/>
        </w:pict>
      </w:r>
    </w:p>
    <w:bookmarkStart w:id="9" w:name="X949bd4f4089bbaccce539b2bd28d75b85935b6a"/>
    <w:p>
      <w:pPr>
        <w:pStyle w:val="Heading2"/>
      </w:pPr>
      <w:r>
        <w:t xml:space="preserve">1. Setup Into the Print</w:t>
      </w:r>
    </w:p>
    <w:p>
      <w:pPr>
        <w:pStyle w:val="FirstParagraph"/>
      </w:pPr>
      <w:r>
        <w:t xml:space="preserve">WDC has been one of the single best-performing large-cap stocks of the past year, riding the AI-driven "storage supercycle" narrative alongside Seagate (STX), Micron (MU) and SanDisk (SNDK). Shares are up several hundred percent over the trailing twelve months, but the stock has been extremely volatile heading into this print — it touched an all-time high near</w:t>
      </w:r>
      <w:r>
        <w:t xml:space="preserve"> </w:t>
      </w:r>
      <m:oMath>
        <m:r>
          <m:t>746</m:t>
        </m:r>
        <m:r>
          <m:t>i</m:t>
        </m:r>
        <m:r>
          <m:t>n</m:t>
        </m:r>
        <m:r>
          <m:t>m</m:t>
        </m:r>
        <m:r>
          <m:t>i</m:t>
        </m:r>
        <m:r>
          <m:t>d</m:t>
        </m:r>
        <m:r>
          <m:rPr>
            <m:sty m:val="p"/>
          </m:rPr>
          <m:t>−</m:t>
        </m:r>
        <m:r>
          <m:t>J</m:t>
        </m:r>
        <m:r>
          <m:t>u</m:t>
        </m:r>
        <m:r>
          <m:t>n</m:t>
        </m:r>
        <m:r>
          <m:t>e</m:t>
        </m:r>
        <m:r>
          <m:t>2026</m:t>
        </m:r>
        <m:r>
          <m:t>b</m:t>
        </m:r>
        <m:r>
          <m:t>e</m:t>
        </m:r>
        <m:r>
          <m:t>f</m:t>
        </m:r>
        <m:r>
          <m:t>o</m:t>
        </m:r>
        <m:r>
          <m:t>r</m:t>
        </m:r>
        <m:r>
          <m:t>e</m:t>
        </m:r>
        <m:r>
          <m:t>r</m:t>
        </m:r>
        <m:r>
          <m:t>o</m:t>
        </m:r>
        <m:r>
          <m:t>u</m:t>
        </m:r>
        <m:r>
          <m:t>n</m:t>
        </m:r>
        <m:r>
          <m:t>d</m:t>
        </m:r>
        <m:r>
          <m:rPr>
            <m:sty m:val="p"/>
          </m:rPr>
          <m:t>−</m:t>
        </m:r>
        <m:r>
          <m:t>t</m:t>
        </m:r>
        <m:r>
          <m:t>r</m:t>
        </m:r>
        <m:r>
          <m:t>i</m:t>
        </m:r>
        <m:r>
          <m:t>p</m:t>
        </m:r>
        <m:r>
          <m:t>p</m:t>
        </m:r>
        <m:r>
          <m:t>i</m:t>
        </m:r>
        <m:r>
          <m:t>n</m:t>
        </m:r>
        <m:r>
          <m:t>g</m:t>
        </m:r>
        <m:r>
          <m:t>t</m:t>
        </m:r>
        <m:r>
          <m:t>o</m:t>
        </m:r>
        <m:r>
          <m:t>t</m:t>
        </m:r>
        <m:r>
          <m:t>h</m:t>
        </m:r>
        <m:r>
          <m:t>e</m:t>
        </m:r>
        <m:r>
          <m:t>h</m:t>
        </m:r>
        <m:r>
          <m:t>i</m:t>
        </m:r>
        <m:r>
          <m:t>g</m:t>
        </m:r>
        <m:r>
          <m:t>h</m:t>
        </m:r>
        <m:r>
          <m:rPr>
            <m:sty m:val="p"/>
          </m:rPr>
          <m:t>−</m:t>
        </m:r>
      </m:oMath>
      <w:r>
        <w:t xml:space="preserve">400s/low-$500s amid a broader memory/chip-stock sell-off tied to Chinese memory competitor CXMT and China supply-chain headlines, before stabilizing around</w:t>
      </w:r>
      <w:r>
        <w:t xml:space="preserve"> </w:t>
      </w:r>
      <m:oMath>
        <m:r>
          <m:t>530</m:t>
        </m:r>
        <m:r>
          <m:rPr>
            <m:sty m:val="p"/>
          </m:rPr>
          <m:t>–</m:t>
        </m:r>
      </m:oMath>
      <w:r>
        <w:t xml:space="preserve">550 in the days before earnings. Options markets are pricing in a double-digit percentage move around the print, and multiple sell-side notes have flagged that</w:t>
      </w:r>
      <w:r>
        <w:t xml:space="preserve"> </w:t>
      </w:r>
      <w:r>
        <w:rPr>
          <w:b/>
          <w:bCs/>
        </w:rPr>
        <w:t xml:space="preserve">"expectations are clearly elevated"</w:t>
      </w:r>
      <w:r>
        <w:t xml:space="preserve"> </w:t>
      </w:r>
      <w:r>
        <w:t xml:space="preserve">heading into results.</w:t>
      </w:r>
    </w:p>
    <w:p>
      <w:pPr>
        <w:pStyle w:val="BodyText"/>
      </w:pPr>
      <w:r>
        <w:t xml:space="preserve">Wall Street consensus for the quarter sits at roughly</w:t>
      </w:r>
      <w:r>
        <w:t xml:space="preserve"> </w:t>
      </w:r>
      <m:oMath>
        <m:r>
          <m:t>3.32</m:t>
        </m:r>
        <m:r>
          <m:rPr>
            <m:sty m:val="p"/>
          </m:rPr>
          <m:t>–</m:t>
        </m:r>
      </m:oMath>
      <w:r>
        <w:rPr>
          <w:b/>
          <w:bCs/>
        </w:rPr>
        <w:t xml:space="preserve">3.35 EPS on ~$3.7 billion of revenue</w:t>
      </w:r>
      <w:r>
        <w:t xml:space="preserve">, essentially in line with or slightly above management's own guidance (see below), which itself implies ~100% EPS growth and ~40-42% revenue growth year-over-year.</w:t>
      </w:r>
    </w:p>
    <w:p>
      <w:pPr>
        <w:pStyle w:val="BodyText"/>
      </w:pPr>
      <w:r>
        <w:t xml:space="preserve">Analyst sentiment is broadly bullish but dispersed on valuation: price targets on the Street range from roughly $500 (Susquehanna, Neutral) up to</w:t>
      </w:r>
      <w:r>
        <w:t xml:space="preserve"> </w:t>
      </w:r>
      <m:oMath>
        <m:r>
          <m:t>1</m:t>
        </m:r>
        <m:r>
          <m:rPr>
            <m:sty m:val="p"/>
          </m:rPr>
          <m:t>,</m:t>
        </m:r>
        <m:r>
          <m:t>050</m:t>
        </m:r>
        <m:r>
          <m:rPr>
            <m:sty m:val="p"/>
          </m:rPr>
          <m:t>(</m:t>
        </m:r>
        <m:r>
          <m:t>M</m:t>
        </m:r>
        <m:r>
          <m:t>e</m:t>
        </m:r>
        <m:r>
          <m:t>l</m:t>
        </m:r>
        <m:r>
          <m:t>i</m:t>
        </m:r>
        <m:r>
          <m:t>u</m:t>
        </m:r>
        <m:r>
          <m:t>s</m:t>
        </m:r>
        <m:r>
          <m:rPr>
            <m:sty m:val="p"/>
          </m:rPr>
          <m:t>,</m:t>
        </m:r>
        <m:r>
          <m:t>B</m:t>
        </m:r>
        <m:r>
          <m:t>u</m:t>
        </m:r>
        <m:r>
          <m:t>y</m:t>
        </m:r>
        <m:r>
          <m:rPr>
            <m:sty m:val="p"/>
          </m:rPr>
          <m:t>)</m:t>
        </m:r>
        <m:r>
          <m:rPr>
            <m:sty m:val="p"/>
          </m:rPr>
          <m:t>,</m:t>
        </m:r>
        <m:r>
          <m:t>w</m:t>
        </m:r>
        <m:r>
          <m:t>i</m:t>
        </m:r>
        <m:r>
          <m:t>t</m:t>
        </m:r>
        <m:r>
          <m:t>h</m:t>
        </m:r>
        <m:r>
          <m:t>r</m:t>
        </m:r>
        <m:r>
          <m:t>e</m:t>
        </m:r>
        <m:r>
          <m:t>c</m:t>
        </m:r>
        <m:r>
          <m:t>e</m:t>
        </m:r>
        <m:r>
          <m:t>n</m:t>
        </m:r>
        <m:r>
          <m:t>t</m:t>
        </m:r>
        <m:r>
          <m:t>u</m:t>
        </m:r>
        <m:r>
          <m:t>p</m:t>
        </m:r>
        <m:r>
          <m:t>g</m:t>
        </m:r>
        <m:r>
          <m:t>r</m:t>
        </m:r>
        <m:r>
          <m:t>a</m:t>
        </m:r>
        <m:r>
          <m:t>d</m:t>
        </m:r>
        <m:r>
          <m:t>e</m:t>
        </m:r>
        <m:r>
          <m:t>s</m:t>
        </m:r>
        <m:r>
          <m:t>f</m:t>
        </m:r>
        <m:r>
          <m:t>r</m:t>
        </m:r>
        <m:r>
          <m:t>o</m:t>
        </m:r>
        <m:r>
          <m:t>m</m:t>
        </m:r>
        <m:r>
          <m:t>C</m:t>
        </m:r>
        <m:r>
          <m:t>i</m:t>
        </m:r>
        <m:r>
          <m:t>t</m:t>
        </m:r>
        <m:r>
          <m:t>i</m:t>
        </m:r>
        <m:r>
          <m:rPr>
            <m:sty m:val="p"/>
          </m:rPr>
          <m:t>(</m:t>
        </m:r>
      </m:oMath>
      <w:r>
        <w:t xml:space="preserve">800), Cantor Fitzgerald (</w:t>
      </w:r>
      <m:oMath>
        <m:r>
          <m:t>900</m:t>
        </m:r>
        <m:r>
          <m:rPr>
            <m:sty m:val="p"/>
          </m:rPr>
          <m:t>)</m:t>
        </m:r>
        <m:r>
          <m:rPr>
            <m:sty m:val="p"/>
          </m:rPr>
          <m:t>,</m:t>
        </m:r>
        <m:r>
          <m:t>B</m:t>
        </m:r>
        <m:r>
          <m:t>o</m:t>
        </m:r>
        <m:r>
          <m:t>f</m:t>
        </m:r>
        <m:r>
          <m:t>A</m:t>
        </m:r>
        <m:r>
          <m:rPr>
            <m:sty m:val="p"/>
          </m:rPr>
          <m:t>(</m:t>
        </m:r>
      </m:oMath>
      <w:r>
        <w:t xml:space="preserve">732), Goldman Sachs (</w:t>
      </w:r>
      <m:oMath>
        <m:r>
          <m:t>650</m:t>
        </m:r>
        <m:r>
          <m:rPr>
            <m:sty m:val="p"/>
          </m:rPr>
          <m:t>)</m:t>
        </m:r>
        <m:r>
          <m:t>a</m:t>
        </m:r>
        <m:r>
          <m:t>n</m:t>
        </m:r>
        <m:r>
          <m:t>d</m:t>
        </m:r>
        <m:r>
          <m:t>R</m:t>
        </m:r>
        <m:r>
          <m:t>o</m:t>
        </m:r>
        <m:r>
          <m:t>s</m:t>
        </m:r>
        <m:r>
          <m:t>e</m:t>
        </m:r>
        <m:r>
          <m:t>n</m:t>
        </m:r>
        <m:r>
          <m:t>b</m:t>
        </m:r>
        <m:r>
          <m:t>l</m:t>
        </m:r>
        <m:r>
          <m:t>a</m:t>
        </m:r>
        <m:r>
          <m:t>t</m:t>
        </m:r>
        <m:r>
          <m:t>t</m:t>
        </m:r>
        <m:r>
          <m:rPr>
            <m:sty m:val="p"/>
          </m:rPr>
          <m:t>(</m:t>
        </m:r>
      </m:oMath>
      <w:r>
        <w:t xml:space="preserve">900). The wide dispersion underscores the central debate: how durable is the current pricing/demand supercycle for nearline HDDs, and how much of it is already in the stock after a ~5x-plus run.</w:t>
      </w:r>
    </w:p>
    <w:bookmarkEnd w:id="9"/>
    <w:bookmarkStart w:id="10" w:name="X2383a99503f1897f3bfb5c6f886a31ac1a55263"/>
    <w:p>
      <w:pPr>
        <w:pStyle w:val="Heading2"/>
      </w:pPr>
      <w:r>
        <w:t xml:space="preserve">2. What Happened Last Quarter (Q3 FY2026 Recap)</w:t>
      </w:r>
    </w:p>
    <w:p>
      <w:pPr>
        <w:pStyle w:val="FirstParagraph"/>
      </w:pPr>
      <w:r>
        <w:t xml:space="preserve">Western Digital's fiscal Q3 (quarter ended April 3, 2026) was a blowout that beat the high end of guidance across the board. Revenue was $3.3 billion, up 45% year-over-year, driven by strong demand across all our end markets and an improved pricing environment. Earnings per share was $2.72, almost double compared to a year ago. Revenue, gross margin and earnings per share were all above the high end of the guidance range.</w:t>
      </w:r>
    </w:p>
    <w:p>
      <w:pPr>
        <w:pStyle w:val="BodyText"/>
      </w:pPr>
      <w:r>
        <w:t xml:space="preserve">Segment detail: Cloud represented 89% of total revenue at $3 billion, up 48% year-over-year, driven by strong demand for our higher capacity nearline product portfolio and a stronger pricing environment. Gross margin for the fiscal third quarter expanded to 50.5%, improving 1,040 basis points year-over-year and 440 basis points sequentially, driven by mix shift to higher-capacity drives, pricing execution and cost control.</w:t>
      </w:r>
    </w:p>
    <w:p>
      <w:pPr>
        <w:pStyle w:val="BodyText"/>
      </w:pPr>
      <w:r>
        <w:t xml:space="preserve">Pricing power was a standout theme — management noted pricing was up 9% year-on-year, reflecting ongoing value creation for customers and TCO improvements, with expectations that pricing would move toward the high single-digit range in the latter part of calendar 2026 as new LTAs come online. Cost-downs were similarly strong, with cost per exabyte down roughly 10% year-over-year.</w:t>
      </w:r>
    </w:p>
    <w:p>
      <w:pPr>
        <w:pStyle w:val="BodyText"/>
      </w:pPr>
      <w:r>
        <w:t xml:space="preserve">Balance sheet actions were also significant: WDC significantly strengthened its balance sheet by monetizing 5.8 million shares of SanDisk, leading to a $3.1 billion reduction in debt, leaving only $1.6 billion of convertible debt outstanding, and ending the quarter in a net positive cash position of $450 million, while also receiving investment-grade upgrades from S&amp;P and Fitch during the quarter. The board also</w:t>
      </w:r>
      <w:r>
        <w:t xml:space="preserve"> </w:t>
      </w:r>
      <w:r>
        <w:rPr>
          <w:b/>
          <w:bCs/>
        </w:rPr>
        <w:t xml:space="preserve">raised the quarterly dividend 20% to $0.15/share</w:t>
      </w:r>
      <w:r>
        <w:t xml:space="preserve">, and the company subsequently exchanged its remaining SanDisk stake for WDC shares in June 2026, effectively completing the unwind of its retained SanDisk position from the 2025 Flash-business separation.</w:t>
      </w:r>
    </w:p>
    <w:bookmarkEnd w:id="10"/>
    <w:bookmarkStart w:id="11" w:name="X05c00f282cbe64fdf504480063ac5a0f7686efd"/>
    <w:p>
      <w:pPr>
        <w:pStyle w:val="Heading2"/>
      </w:pPr>
      <w:r>
        <w:t xml:space="preserve">3. Guidance for the Quarter Being Reported</w:t>
      </w:r>
    </w:p>
    <w:p>
      <w:pPr>
        <w:pStyle w:val="FirstParagraph"/>
      </w:pPr>
      <w:r>
        <w:t xml:space="preserve">Management's own Q4 FY2026 guidance, issued alongside Q3 results: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 (non-GAAP)</w:t>
            </w:r>
          </w:p>
        </w:tc>
        <w:tc>
          <w:tcPr/>
          <w:p>
            <w:pPr>
              <w:pStyle w:val="Compact"/>
            </w:pPr>
            <w:r>
              <w:t xml:space="preserve">Q4 FY26 Guidance</w:t>
            </w:r>
          </w:p>
        </w:tc>
      </w:tr>
      <w:tr>
        <w:tc>
          <w:tcPr/>
          <w:p>
            <w:pPr>
              <w:pStyle w:val="Compact"/>
            </w:pPr>
            <w:r>
              <w:t xml:space="preserve">Revenue</w:t>
            </w:r>
          </w:p>
        </w:tc>
        <w:tc>
          <w:tcPr/>
          <w:p>
            <w:pPr>
              <w:pStyle w:val="Compact"/>
            </w:pPr>
            <w:r>
              <w:t xml:space="preserve">$3.65B ± $100M (+40% YoY at midpoint)</w:t>
            </w:r>
          </w:p>
        </w:tc>
      </w:tr>
      <w:tr>
        <w:tc>
          <w:tcPr/>
          <w:p>
            <w:pPr>
              <w:pStyle w:val="Compact"/>
            </w:pPr>
            <w:r>
              <w:t xml:space="preserve">Gross margin</w:t>
            </w:r>
          </w:p>
        </w:tc>
        <w:tc>
          <w:tcPr/>
          <w:p>
            <w:pPr>
              <w:pStyle w:val="Compact"/>
            </w:pPr>
            <w:r>
              <w:t xml:space="preserve">51%–52%</w:t>
            </w:r>
          </w:p>
        </w:tc>
      </w:tr>
      <w:tr>
        <w:tc>
          <w:tcPr/>
          <w:p>
            <w:pPr>
              <w:pStyle w:val="Compact"/>
            </w:pPr>
            <w:r>
              <w:t xml:space="preserve">Operating expenses</w:t>
            </w:r>
          </w:p>
        </w:tc>
        <w:tc>
          <w:tcPr/>
          <w:p>
            <w:pPr>
              <w:pStyle w:val="Compact"/>
            </w:pPr>
            <m:oMath>
              <m:r>
                <m:t>385</m:t>
              </m:r>
              <m:r>
                <m:t>M</m:t>
              </m:r>
              <m:r>
                <m:rPr>
                  <m:sty m:val="p"/>
                </m:rPr>
                <m:t>–</m:t>
              </m:r>
            </m:oMath>
            <w:r>
              <w:t xml:space="preserve">395M</w:t>
            </w:r>
          </w:p>
        </w:tc>
      </w:tr>
      <w:tr>
        <w:tc>
          <w:tcPr/>
          <w:p>
            <w:pPr>
              <w:pStyle w:val="Compact"/>
            </w:pPr>
            <w:r>
              <w:t xml:space="preserve">Interest/other expense</w:t>
            </w:r>
          </w:p>
        </w:tc>
        <w:tc>
          <w:tcPr/>
          <w:p>
            <w:pPr>
              <w:pStyle w:val="Compact"/>
            </w:pPr>
            <w:r>
              <w:t xml:space="preserve">~$10M</w:t>
            </w:r>
          </w:p>
        </w:tc>
      </w:tr>
      <w:tr>
        <w:tc>
          <w:tcPr/>
          <w:p>
            <w:pPr>
              <w:pStyle w:val="Compact"/>
            </w:pPr>
            <w:r>
              <w:t xml:space="preserve">Tax rate</w:t>
            </w:r>
          </w:p>
        </w:tc>
        <w:tc>
          <w:tcPr/>
          <w:p>
            <w:pPr>
              <w:pStyle w:val="Compact"/>
            </w:pPr>
            <w:r>
              <w:t xml:space="preserve">~16%</w:t>
            </w:r>
          </w:p>
        </w:tc>
      </w:tr>
      <w:tr>
        <w:tc>
          <w:tcPr/>
          <w:p>
            <w:pPr>
              <w:pStyle w:val="Compact"/>
            </w:pPr>
            <w:r>
              <w:t xml:space="preserve">Diluted EPS</w:t>
            </w:r>
          </w:p>
        </w:tc>
        <w:tc>
          <w:tcPr/>
          <w:p>
            <w:pPr>
              <w:pStyle w:val="Compact"/>
            </w:pPr>
            <w:r>
              <w:t xml:space="preserve">$3.25 ± $0.15</w:t>
            </w:r>
          </w:p>
        </w:tc>
      </w:tr>
    </w:tbl>
    <w:p>
      <w:pPr>
        <w:pStyle w:val="BodyText"/>
      </w:pPr>
      <w:r>
        <w:t xml:space="preserve">As Kris Sennesael, CFO, put it: "we anticipate revenue to be $3.65 billion, plus/minus $100 million... gross margin is expected to be in the range of 51% to 52%... we expect diluted earnings per share to be $3.25 plus/minus</w:t>
      </w:r>
      <w:r>
        <w:t xml:space="preserve"> </w:t>
      </w:r>
      <w:r>
        <w:t xml:space="preserve">$0.15." Sell-side consensus (~$</w:t>
      </w:r>
      <w:r>
        <w:t xml:space="preserve">3.33 EPS, ~$3.7B revenue) sits modestly above the midpoint of guidance — consistent with WDC's pattern of beating its own numbers in each of the last four quarters by an average of double digits, per Zacks estimates.</w:t>
      </w:r>
    </w:p>
    <w:bookmarkEnd w:id="11"/>
    <w:bookmarkStart w:id="12" w:name="X2adc59179bd6359cc238d5464d75655e2b6ac92"/>
    <w:p>
      <w:pPr>
        <w:pStyle w:val="Heading2"/>
      </w:pPr>
      <w:r>
        <w:t xml:space="preserve">4. Key Themes to Watch on the Call</w:t>
      </w:r>
    </w:p>
    <w:p>
      <w:pPr>
        <w:pStyle w:val="FirstParagraph"/>
      </w:pPr>
      <w:r>
        <w:rPr>
          <w:b/>
          <w:bCs/>
        </w:rPr>
        <w:t xml:space="preserve">a) AI storage supercycle / long-term exabyte growth.</w:t>
      </w:r>
      <w:r>
        <w:t xml:space="preserve"> </w:t>
      </w:r>
      <w:r>
        <w:t xml:space="preserve">Management has repeatedly framed the current cycle around three structural demand drivers: ongoing training/retraining data storage, the shift to inferencing and now</w:t>
      </w:r>
      <w:r>
        <w:t xml:space="preserve"> </w:t>
      </w:r>
      <w:r>
        <w:rPr>
          <w:b/>
          <w:bCs/>
        </w:rPr>
        <w:t xml:space="preserve">agentic AI</w:t>
      </w:r>
      <w:r>
        <w:t xml:space="preserve"> </w:t>
      </w:r>
      <w:r>
        <w:t xml:space="preserve">(every autonomous agent action generates persistent data that must be stored), and</w:t>
      </w:r>
      <w:r>
        <w:t xml:space="preserve"> </w:t>
      </w:r>
      <w:r>
        <w:rPr>
          <w:b/>
          <w:bCs/>
        </w:rPr>
        <w:t xml:space="preserve">physical AI</w:t>
      </w:r>
      <w:r>
        <w:t xml:space="preserve"> </w:t>
      </w:r>
      <w:r>
        <w:t xml:space="preserve">(robotics/autonomous vehicles generating synthetic and sensor data). CEO Irving Tan reiterated confidence that "long-term data storage growth will be greater than 25% CAGR." Watch for any incremental commentary reinforcing (or moderating) that framework, especially given Seagate's similar messaging just a week earlier around KV-cache/tiered storage architectures for agentic workloads.</w:t>
      </w:r>
    </w:p>
    <w:p>
      <w:pPr>
        <w:pStyle w:val="BodyText"/>
      </w:pPr>
      <w:r>
        <w:rPr>
          <w:b/>
          <w:bCs/>
        </w:rPr>
        <w:t xml:space="preserve">b) Pricing and LTA visibility.</w:t>
      </w:r>
      <w:r>
        <w:t xml:space="preserve"> </w:t>
      </w:r>
      <w:r>
        <w:t xml:space="preserve">WDC has extended long-term agreements into calendar 2028 and 2029, with predictable, exabyte-based pricing plus upside for volume above base commitments. Investors will want an update on how much of FY27 capacity is already locked in, and whether the high-single-digit pricing trajectory flagged for late-CY26 is tracking or accelerating — Seagate's read-through was notably strong, with that company guiding to price-per-exabyte growth "closer to maybe 20% year-over-year" for its September quarter and describing nearline drives as essentially sold out into 2028.</w:t>
      </w:r>
    </w:p>
    <w:p>
      <w:pPr>
        <w:pStyle w:val="BodyText"/>
      </w:pPr>
      <w:r>
        <w:rPr>
          <w:b/>
          <w:bCs/>
        </w:rPr>
        <w:t xml:space="preserve">c) Technology roadmap execution (HAMR, ePMR, UltraSMR).</w:t>
      </w:r>
      <w:r>
        <w:t xml:space="preserve"> </w:t>
      </w:r>
      <w:r>
        <w:t xml:space="preserve">WDC is running a "dual-track" capacity roadmap: next-gen 40TB ePMR drives are qualifying with three customers ahead of second-half-2026 volume production, while 44TB HAMR drives are now in qualification with four customers (ahead of schedule). UltraSMR adoption is expanding — "three of our largest customers now have adopted the technology... we plan to have all of our major customers qualified on UltraSMR by the end of calendar year 2027," with management targeting close to 60% of exabytes shipped on UltraSMR by fiscal year-end 2027. Watch for updated qualification counts and any signs of an accelerating cost-per-exabyte decline curve as these ramp.</w:t>
      </w:r>
    </w:p>
    <w:p>
      <w:pPr>
        <w:pStyle w:val="BodyText"/>
      </w:pPr>
      <w:r>
        <w:rPr>
          <w:b/>
          <w:bCs/>
        </w:rPr>
        <w:t xml:space="preserve">d) Gross margin trajectory.</w:t>
      </w:r>
      <w:r>
        <w:t xml:space="preserve"> </w:t>
      </w:r>
      <w:r>
        <w:t xml:space="preserve">After four straight quarters of outsized gross-margin expansion (Q3 hit 50.5% non-GAAP), the Q4 guide of 51–52% implies a deceleration to ~100bps of sequential improvement — a point analysts pushed back on last quarter, prompting CFO Kris Sennesael to note incremental gross margins have been running in the</w:t>
      </w:r>
      <w:r>
        <w:t xml:space="preserve"> </w:t>
      </w:r>
      <w:r>
        <w:rPr>
          <w:b/>
          <w:bCs/>
        </w:rPr>
        <w:t xml:space="preserve">70-75%</w:t>
      </w:r>
      <w:r>
        <w:t xml:space="preserve"> </w:t>
      </w:r>
      <w:r>
        <w:t xml:space="preserve">range and to characterize the guide as conservative rather than a sign of margin headwinds. Confirmation of continued strong incrementals (or a beat above the 52% high end) would be a key positive signal.</w:t>
      </w:r>
    </w:p>
    <w:p>
      <w:pPr>
        <w:pStyle w:val="BodyText"/>
      </w:pPr>
      <w:r>
        <w:rPr>
          <w:b/>
          <w:bCs/>
        </w:rPr>
        <w:t xml:space="preserve">e) Capacity discipline.</w:t>
      </w:r>
      <w:r>
        <w:t xml:space="preserve"> </w:t>
      </w:r>
      <w:r>
        <w:t xml:space="preserve">Management has been explicit that it does</w:t>
      </w:r>
      <w:r>
        <w:t xml:space="preserve"> </w:t>
      </w:r>
      <w:r>
        <w:rPr>
          <w:b/>
          <w:bCs/>
        </w:rPr>
        <w:t xml:space="preserve">not</w:t>
      </w:r>
      <w:r>
        <w:t xml:space="preserve"> </w:t>
      </w:r>
      <w:r>
        <w:t xml:space="preserve">plan to add unit (drive) capacity, focusing instead on areal-density gains (higher terabytes per platter) as the more capital-efficient lever — mirroring Seagate's identical strategy. Any change in tone here (e.g., signs of head/media capacity investment) would be worth flagging given implications for the supply/demand balance and pricing power.</w:t>
      </w:r>
    </w:p>
    <w:p>
      <w:pPr>
        <w:pStyle w:val="BodyText"/>
      </w:pPr>
      <w:r>
        <w:rPr>
          <w:b/>
          <w:bCs/>
        </w:rPr>
        <w:t xml:space="preserve">f) Capital returns / balance sheet.</w:t>
      </w:r>
      <w:r>
        <w:t xml:space="preserve"> </w:t>
      </w:r>
      <w:r>
        <w:t xml:space="preserve">With debt already reduced sharply and the SanDisk stake now fully monetized via the June 2026 share exchange, watch for confirmation of continued buybacks and dividend growth, and free cash flow margin trending toward or above the ~30% level flagged last quarter.</w:t>
      </w:r>
    </w:p>
    <w:p>
      <w:pPr>
        <w:pStyle w:val="BodyText"/>
      </w:pPr>
      <w:r>
        <w:rPr>
          <w:b/>
          <w:bCs/>
        </w:rPr>
        <w:t xml:space="preserve">g) M&amp;A optionality.</w:t>
      </w:r>
      <w:r>
        <w:t xml:space="preserve"> </w:t>
      </w:r>
      <w:r>
        <w:t xml:space="preserve">Recent reports indicated WDC had reopened merger talks with Kioxia (which would pair WDC's enterprise HDD business with NAND flash production to better compete with Samsung/SK Hynix), a storyline that has moved the stock and could draw questions on the call even absent formal confirmation.</w:t>
      </w:r>
    </w:p>
    <w:bookmarkEnd w:id="12"/>
    <w:bookmarkStart w:id="13" w:name="Xfcbee60b3f30ed384d2013d82d6863a772b14ee"/>
    <w:p>
      <w:pPr>
        <w:pStyle w:val="Heading2"/>
      </w:pPr>
      <w:r>
        <w:t xml:space="preserve">5. Competitive Read-Through: Seagate's Blowout Quarter</w:t>
      </w:r>
    </w:p>
    <w:p>
      <w:pPr>
        <w:pStyle w:val="FirstParagraph"/>
      </w:pPr>
      <w:r>
        <w:t xml:space="preserve">Seagate reported its own fiscal Q4/FY2026 results on July 28, and the read-through was bullish for the group: June quarter revenue was $3.6 billion, up 17% sequentially and up 48% year over year, exceeding the high end of guidance, with non-GAAP gross margin at 52.7%, up 570 basis points sequentially, and non-GAAP EPS of</w:t>
      </w:r>
      <w:r>
        <w:t xml:space="preserve"> </w:t>
      </w:r>
      <m:oMath>
        <m:r>
          <m:t>5.71</m:t>
        </m:r>
        <m:r>
          <m:rPr>
            <m:sty m:val="p"/>
          </m:rPr>
          <m:t>,</m:t>
        </m:r>
        <m:r>
          <m:t>u</m:t>
        </m:r>
        <m:r>
          <m:t>p</m:t>
        </m:r>
        <m:r>
          <m:t>39</m:t>
        </m:r>
      </m:oMath>
      <w:r>
        <w:t xml:space="preserve">4.1 billion, plus or minus $100 million, which represents a 56% year over year improvement at the midpoint," with operating margin around 50%. Notably, "data center demand now represents approximately 90% of our exabyte shipments... the vast majority of our nearline exabytes are now allocated into calendar 2028," and management said customers are pushing to extend planning horizons to 2029. Despite the beat and raise, STX shares fell about 3.7% on the print — a reminder that with expectations this elevated across the group, even strong results can disappoint if they don't clear an increasingly high bar.</w:t>
      </w:r>
    </w:p>
    <w:bookmarkEnd w:id="13"/>
    <w:bookmarkStart w:id="14" w:name="X80b5837b3394b1e61cf1b1bb1ff2feb76a15523"/>
    <w:p>
      <w:pPr>
        <w:pStyle w:val="Heading2"/>
      </w:pPr>
      <w:r>
        <w:t xml:space="preserve">6. Risks / Swing Factors</w:t>
      </w:r>
    </w:p>
    <w:p>
      <w:pPr>
        <w:pStyle w:val="Compact"/>
        <w:numPr>
          <w:ilvl w:val="0"/>
          <w:numId w:val="1001"/>
        </w:numPr>
      </w:pPr>
      <w:r>
        <w:rPr>
          <w:b/>
          <w:bCs/>
        </w:rPr>
        <w:t xml:space="preserve">Valuation/positioning risk:</w:t>
      </w:r>
      <w:r>
        <w:t xml:space="preserve"> </w:t>
      </w:r>
      <w:r>
        <w:t xml:space="preserve">After a multi-hundred-percent run and a violent recent pullback (WDC swung from ~</w:t>
      </w:r>
      <m:oMath>
        <m:r>
          <m:t>746</m:t>
        </m:r>
        <m:r>
          <m:t>t</m:t>
        </m:r>
        <m:r>
          <m:t>o</m:t>
        </m:r>
        <m:r>
          <m:t>t</m:t>
        </m:r>
        <m:r>
          <m:t>h</m:t>
        </m:r>
        <m:r>
          <m:t>e</m:t>
        </m:r>
        <m:r>
          <m:t>h</m:t>
        </m:r>
        <m:r>
          <m:t>i</m:t>
        </m:r>
        <m:r>
          <m:t>g</m:t>
        </m:r>
        <m:r>
          <m:t>h</m:t>
        </m:r>
        <m:r>
          <m:rPr>
            <m:sty m:val="p"/>
          </m:rPr>
          <m:t>−</m:t>
        </m:r>
      </m:oMath>
      <w:r>
        <w:t xml:space="preserve">400s and back over just a few weeks), the stock is trading on outsized expectations; any miss or even an in-line quarter without incremental guidance upside could trigger a sharp reaction.</w:t>
      </w:r>
    </w:p>
    <w:p>
      <w:pPr>
        <w:pStyle w:val="Compact"/>
        <w:numPr>
          <w:ilvl w:val="0"/>
          <w:numId w:val="1001"/>
        </w:numPr>
      </w:pPr>
      <w:r>
        <w:rPr>
          <w:b/>
          <w:bCs/>
        </w:rPr>
        <w:t xml:space="preserve">China/geopolitical overhang:</w:t>
      </w:r>
      <w:r>
        <w:t xml:space="preserve"> </w:t>
      </w:r>
      <w:r>
        <w:t xml:space="preserve">Recent share weakness has been linked to news of Chinese memory maker CXMT ramping mass production and broader chip-stock jitters around China supply and export-control policy — a theme that could resurface in Q&amp;A.</w:t>
      </w:r>
    </w:p>
    <w:p>
      <w:pPr>
        <w:pStyle w:val="Compact"/>
        <w:numPr>
          <w:ilvl w:val="0"/>
          <w:numId w:val="1001"/>
        </w:numPr>
      </w:pPr>
      <w:r>
        <w:rPr>
          <w:b/>
          <w:bCs/>
        </w:rPr>
        <w:t xml:space="preserve">Margin cadence:</w:t>
      </w:r>
      <w:r>
        <w:t xml:space="preserve"> </w:t>
      </w:r>
      <w:r>
        <w:t xml:space="preserve">The sequential deceleration implied in Q4 gross-margin guidance (51-52% vs. 50.5% actual in Q3) will be scrutinized for signs of conservatism versus emerging cost pressure.</w:t>
      </w:r>
    </w:p>
    <w:p>
      <w:pPr>
        <w:pStyle w:val="Compact"/>
        <w:numPr>
          <w:ilvl w:val="0"/>
          <w:numId w:val="1001"/>
        </w:numPr>
      </w:pPr>
      <w:r>
        <w:rPr>
          <w:b/>
          <w:bCs/>
        </w:rPr>
        <w:t xml:space="preserve">Execution on HAMR transition:</w:t>
      </w:r>
      <w:r>
        <w:t xml:space="preserve"> </w:t>
      </w:r>
      <w:r>
        <w:t xml:space="preserve">While ahead of schedule, HAMR remains early-stage (four customers in qualification); any yield/reliability slippage would matter more now that the multiple has re-rated on the assumption of smooth technology transitions.</w:t>
      </w:r>
    </w:p>
    <w:p>
      <w:pPr>
        <w:pStyle w:val="Compact"/>
        <w:numPr>
          <w:ilvl w:val="0"/>
          <w:numId w:val="1001"/>
        </w:numPr>
      </w:pPr>
      <w:r>
        <w:rPr>
          <w:b/>
          <w:bCs/>
        </w:rPr>
        <w:t xml:space="preserve">M&amp;A uncertainty:</w:t>
      </w:r>
      <w:r>
        <w:t xml:space="preserve"> </w:t>
      </w:r>
      <w:r>
        <w:t xml:space="preserve">Kioxia merger speculation adds a wildcard that could affect the stock's reaction independent of the quarter's fundamentals.</w:t>
      </w:r>
    </w:p>
    <w:bookmarkEnd w:id="14"/>
    <w:bookmarkStart w:id="15" w:name="X7a3bbf556adfc11a6000f5b234b318bdc6ae48e"/>
    <w:p>
      <w:pPr>
        <w:pStyle w:val="Heading2"/>
      </w:pPr>
      <w:r>
        <w:t xml:space="preserve">7. Bottom Line</w:t>
      </w:r>
    </w:p>
    <w:p>
      <w:pPr>
        <w:pStyle w:val="FirstParagraph"/>
      </w:pPr>
      <w:r>
        <w:t xml:space="preserve">Western Digital enters this print as a market darling of the AI storage supercycle, with a clean, focused HDD business (post-SanDisk separation), a strengthened balance sheet, an increased dividend, and multiple quarters of gross-margin expansion driven by favorable mix, disciplined pricing, and cost-downs. Guidance calls for ~40% revenue growth and ~</w:t>
      </w:r>
      <m:oMath>
        <m:r>
          <m:t>3.25</m:t>
        </m:r>
        <m:r>
          <m:t>E</m:t>
        </m:r>
        <m:r>
          <m:t>P</m:t>
        </m:r>
        <m:r>
          <m:t>S</m:t>
        </m:r>
        <m:r>
          <m:t>a</m:t>
        </m:r>
        <m:r>
          <m:t>t</m:t>
        </m:r>
        <m:r>
          <m:t>t</m:t>
        </m:r>
        <m:r>
          <m:t>h</m:t>
        </m:r>
        <m:r>
          <m:t>e</m:t>
        </m:r>
        <m:r>
          <m:t>m</m:t>
        </m:r>
        <m:r>
          <m:t>i</m:t>
        </m:r>
        <m:r>
          <m:t>d</m:t>
        </m:r>
        <m:r>
          <m:t>p</m:t>
        </m:r>
        <m:r>
          <m:t>o</m:t>
        </m:r>
        <m:r>
          <m:t>i</m:t>
        </m:r>
        <m:r>
          <m:t>n</m:t>
        </m:r>
        <m:r>
          <m:t>t</m:t>
        </m:r>
        <m:r>
          <m:rPr>
            <m:sty m:val="p"/>
          </m:rPr>
          <m:t>,</m:t>
        </m:r>
        <m:r>
          <m:t>w</m:t>
        </m:r>
        <m:r>
          <m:t>i</m:t>
        </m:r>
        <m:r>
          <m:t>t</m:t>
        </m:r>
        <m:r>
          <m:t>h</m:t>
        </m:r>
        <m:r>
          <m:t>S</m:t>
        </m:r>
        <m:r>
          <m:t>t</m:t>
        </m:r>
        <m:r>
          <m:t>r</m:t>
        </m:r>
        <m:r>
          <m:t>e</m:t>
        </m:r>
        <m:r>
          <m:t>e</m:t>
        </m:r>
        <m:r>
          <m:t>t</m:t>
        </m:r>
        <m:r>
          <m:t>c</m:t>
        </m:r>
        <m:r>
          <m:t>o</m:t>
        </m:r>
        <m:r>
          <m:t>n</m:t>
        </m:r>
        <m:r>
          <m:t>s</m:t>
        </m:r>
        <m:r>
          <m:t>e</m:t>
        </m:r>
        <m:r>
          <m:t>n</m:t>
        </m:r>
        <m:r>
          <m:t>s</m:t>
        </m:r>
        <m:r>
          <m:t>u</m:t>
        </m:r>
        <m:r>
          <m:t>s</m:t>
        </m:r>
        <m:r>
          <m:t>m</m:t>
        </m:r>
        <m:r>
          <m:t>o</m:t>
        </m:r>
        <m:r>
          <m:t>d</m:t>
        </m:r>
        <m:r>
          <m:t>e</m:t>
        </m:r>
        <m:r>
          <m:t>s</m:t>
        </m:r>
        <m:r>
          <m:t>t</m:t>
        </m:r>
        <m:r>
          <m:t>l</m:t>
        </m:r>
        <m:r>
          <m:t>y</m:t>
        </m:r>
        <m:r>
          <m:t>h</m:t>
        </m:r>
        <m:r>
          <m:t>i</m:t>
        </m:r>
        <m:r>
          <m:t>g</m:t>
        </m:r>
        <m:r>
          <m:t>h</m:t>
        </m:r>
        <m:r>
          <m:t>e</m:t>
        </m:r>
        <m:r>
          <m:t>r</m:t>
        </m:r>
        <m:r>
          <m:rPr>
            <m:sty m:val="p"/>
          </m:rPr>
          <m:t>(</m:t>
        </m:r>
        <m:r>
          <m:t> </m:t>
        </m:r>
      </m:oMath>
      <w:r>
        <w:t xml:space="preserve">3.7B revenue, ~</w:t>
      </w:r>
      <m:oMath>
        <m:r>
          <m:t>3.33</m:t>
        </m:r>
        <m:r>
          <m:t>E</m:t>
        </m:r>
        <m:r>
          <m:t>P</m:t>
        </m:r>
        <m:r>
          <m:t>S</m:t>
        </m:r>
        <m:r>
          <m:rPr>
            <m:sty m:val="p"/>
          </m:rPr>
          <m:t>)</m:t>
        </m:r>
        <m:r>
          <m:rPr>
            <m:sty m:val="p"/>
          </m:rPr>
          <m:t>.</m:t>
        </m:r>
        <m:r>
          <m:t>P</m:t>
        </m:r>
        <m:r>
          <m:t>e</m:t>
        </m:r>
        <m:r>
          <m:t>e</m:t>
        </m:r>
        <m:r>
          <m:t>r</m:t>
        </m:r>
        <m:r>
          <m:t>S</m:t>
        </m:r>
        <m:r>
          <m:t>e</m:t>
        </m:r>
        <m:r>
          <m:t>a</m:t>
        </m:r>
        <m:r>
          <m:t>g</m:t>
        </m:r>
        <m:r>
          <m:t>a</m:t>
        </m:r>
        <m:r>
          <m:t>t</m:t>
        </m:r>
        <m:sSup>
          <m:e>
            <m:r>
              <m:t>e</m:t>
            </m:r>
          </m:e>
          <m:sup>
            <m:r>
              <m:rPr>
                <m:sty m:val="p"/>
              </m:rPr>
              <m:t>′</m:t>
            </m:r>
          </m:sup>
        </m:sSup>
        <m:r>
          <m:t>s</m:t>
        </m:r>
        <m:r>
          <m:t>b</m:t>
        </m:r>
        <m:r>
          <m:t>l</m:t>
        </m:r>
        <m:r>
          <m:t>o</m:t>
        </m:r>
        <m:r>
          <m:t>w</m:t>
        </m:r>
        <m:r>
          <m:t>o</m:t>
        </m:r>
        <m:r>
          <m:t>u</m:t>
        </m:r>
        <m:r>
          <m:t>t</m:t>
        </m:r>
        <m:r>
          <m:t>J</m:t>
        </m:r>
        <m:r>
          <m:t>u</m:t>
        </m:r>
        <m:r>
          <m:t>l</m:t>
        </m:r>
        <m:r>
          <m:t>y</m:t>
        </m:r>
        <m:r>
          <m:t>q</m:t>
        </m:r>
        <m:r>
          <m:t>u</m:t>
        </m:r>
        <m:r>
          <m:t>a</m:t>
        </m:r>
        <m:r>
          <m:t>r</m:t>
        </m:r>
        <m:r>
          <m:t>t</m:t>
        </m:r>
        <m:r>
          <m:t>e</m:t>
        </m:r>
        <m:r>
          <m:t>r</m:t>
        </m:r>
        <m:r>
          <m:t>a</m:t>
        </m:r>
        <m:r>
          <m:t>n</m:t>
        </m:r>
        <m:r>
          <m:t>d</m:t>
        </m:r>
        <m:r>
          <m:t>c</m:t>
        </m:r>
        <m:r>
          <m:t>o</m:t>
        </m:r>
        <m:r>
          <m:t>n</m:t>
        </m:r>
        <m:r>
          <m:t>t</m:t>
        </m:r>
        <m:r>
          <m:t>i</m:t>
        </m:r>
        <m:r>
          <m:t>n</m:t>
        </m:r>
        <m:r>
          <m:t>u</m:t>
        </m:r>
        <m:r>
          <m:t>e</m:t>
        </m:r>
        <m:r>
          <m:t>d</m:t>
        </m:r>
        <m:r>
          <m:t>n</m:t>
        </m:r>
        <m:r>
          <m:t>e</m:t>
        </m:r>
        <m:r>
          <m:t>a</m:t>
        </m:r>
        <m:r>
          <m:t>r</m:t>
        </m:r>
        <m:r>
          <m:t>l</m:t>
        </m:r>
        <m:r>
          <m:t>i</m:t>
        </m:r>
        <m:r>
          <m:t>n</m:t>
        </m:r>
        <m:r>
          <m:t>e</m:t>
        </m:r>
        <m:r>
          <m:t>s</m:t>
        </m:r>
        <m:r>
          <m:t>o</m:t>
        </m:r>
        <m:r>
          <m:t>l</m:t>
        </m:r>
        <m:r>
          <m:t>d</m:t>
        </m:r>
        <m:r>
          <m:rPr>
            <m:sty m:val="p"/>
          </m:rPr>
          <m:t>−</m:t>
        </m:r>
        <m:r>
          <m:t>o</m:t>
        </m:r>
        <m:r>
          <m:t>u</m:t>
        </m:r>
        <m:r>
          <m:t>t</m:t>
        </m:r>
        <m:r>
          <m:t>c</m:t>
        </m:r>
        <m:r>
          <m:t>o</m:t>
        </m:r>
        <m:r>
          <m:t>m</m:t>
        </m:r>
        <m:r>
          <m:t>m</m:t>
        </m:r>
        <m:r>
          <m:t>e</m:t>
        </m:r>
        <m:r>
          <m:t>n</m:t>
        </m:r>
        <m:r>
          <m:t>t</m:t>
        </m:r>
        <m:r>
          <m:t>a</m:t>
        </m:r>
        <m:r>
          <m:t>r</m:t>
        </m:r>
        <m:r>
          <m:t>y</m:t>
        </m:r>
        <m:r>
          <m:t>s</m:t>
        </m:r>
        <m:r>
          <m:t>u</m:t>
        </m:r>
        <m:r>
          <m:t>p</m:t>
        </m:r>
        <m:r>
          <m:t>p</m:t>
        </m:r>
        <m:r>
          <m:t>o</m:t>
        </m:r>
        <m:r>
          <m:t>r</m:t>
        </m:r>
        <m:r>
          <m:t>t</m:t>
        </m:r>
        <m:r>
          <m:t>t</m:t>
        </m:r>
        <m:r>
          <m:t>h</m:t>
        </m:r>
        <m:r>
          <m:t>e</m:t>
        </m:r>
        <m:r>
          <m:t>d</m:t>
        </m:r>
        <m:r>
          <m:t>e</m:t>
        </m:r>
        <m:r>
          <m:t>m</m:t>
        </m:r>
        <m:r>
          <m:t>a</m:t>
        </m:r>
        <m:r>
          <m:t>n</m:t>
        </m:r>
        <m:r>
          <m:t>d</m:t>
        </m:r>
        <m:r>
          <m:t>n</m:t>
        </m:r>
        <m:r>
          <m:t>a</m:t>
        </m:r>
        <m:r>
          <m:t>r</m:t>
        </m:r>
        <m:r>
          <m:t>r</m:t>
        </m:r>
        <m:r>
          <m:t>a</m:t>
        </m:r>
        <m:r>
          <m:t>t</m:t>
        </m:r>
        <m:r>
          <m:t>i</m:t>
        </m:r>
        <m:r>
          <m:t>v</m:t>
        </m:r>
        <m:r>
          <m:t>e</m:t>
        </m:r>
        <m:r>
          <m:rPr>
            <m:sty m:val="p"/>
          </m:rPr>
          <m:t>,</m:t>
        </m:r>
        <m:r>
          <m:t>b</m:t>
        </m:r>
        <m:r>
          <m:t>u</m:t>
        </m:r>
        <m:r>
          <m:t>t</m:t>
        </m:r>
        <m:r>
          <m:t>a</m:t>
        </m:r>
        <m:r>
          <m:t>l</m:t>
        </m:r>
        <m:r>
          <m:t>s</m:t>
        </m:r>
        <m:r>
          <m:t>o</m:t>
        </m:r>
        <m:r>
          <m:t>r</m:t>
        </m:r>
        <m:r>
          <m:t>a</m:t>
        </m:r>
        <m:r>
          <m:t>i</m:t>
        </m:r>
        <m:r>
          <m:t>s</m:t>
        </m:r>
        <m:r>
          <m:t>e</m:t>
        </m:r>
        <m:r>
          <m:t>t</m:t>
        </m:r>
        <m:r>
          <m:t>h</m:t>
        </m:r>
        <m:r>
          <m:t>e</m:t>
        </m:r>
        <m:r>
          <m:t>b</m:t>
        </m:r>
        <m:r>
          <m:t>a</m:t>
        </m:r>
        <m:r>
          <m:t>r</m:t>
        </m:r>
        <m:r>
          <m:rPr>
            <m:sty m:val="p"/>
          </m:rPr>
          <m:t>.</m:t>
        </m:r>
        <m:r>
          <m:t>G</m:t>
        </m:r>
        <m:r>
          <m:t>i</m:t>
        </m:r>
        <m:r>
          <m:t>v</m:t>
        </m:r>
        <m:r>
          <m:t>e</m:t>
        </m:r>
        <m:r>
          <m:t>n</m:t>
        </m:r>
        <m:r>
          <m:t>t</m:t>
        </m:r>
        <m:r>
          <m:t>h</m:t>
        </m:r>
        <m:r>
          <m:t>e</m:t>
        </m:r>
        <m:r>
          <m:t>s</m:t>
        </m:r>
        <m:r>
          <m:t>t</m:t>
        </m:r>
        <m:r>
          <m:t>o</m:t>
        </m:r>
        <m:r>
          <m:t>c</m:t>
        </m:r>
        <m:sSup>
          <m:e>
            <m:r>
              <m:t>k</m:t>
            </m:r>
          </m:e>
          <m:sup>
            <m:r>
              <m:rPr>
                <m:sty m:val="p"/>
              </m:rPr>
              <m:t>′</m:t>
            </m:r>
          </m:sup>
        </m:sSup>
        <m:r>
          <m:t>s</m:t>
        </m:r>
        <m:r>
          <m:t>v</m:t>
        </m:r>
        <m:r>
          <m:t>o</m:t>
        </m:r>
        <m:r>
          <m:t>l</m:t>
        </m:r>
        <m:r>
          <m:t>a</m:t>
        </m:r>
        <m:r>
          <m:t>t</m:t>
        </m:r>
        <m:r>
          <m:t>i</m:t>
        </m:r>
        <m:r>
          <m:t>l</m:t>
        </m:r>
        <m:r>
          <m:t>i</m:t>
        </m:r>
        <m:r>
          <m:t>t</m:t>
        </m:r>
        <m:r>
          <m:t>y</m:t>
        </m:r>
        <m:r>
          <m:t>a</m:t>
        </m:r>
        <m:r>
          <m:t>n</m:t>
        </m:r>
        <m:r>
          <m:t>d</m:t>
        </m:r>
        <m:r>
          <m:t>t</m:t>
        </m:r>
        <m:r>
          <m:t>h</m:t>
        </m:r>
        <m:r>
          <m:t>e</m:t>
        </m:r>
        <m:r>
          <m:t>w</m:t>
        </m:r>
        <m:r>
          <m:t>i</m:t>
        </m:r>
        <m:r>
          <m:t>d</m:t>
        </m:r>
        <m:r>
          <m:t>e</m:t>
        </m:r>
        <m:r>
          <m:t>a</m:t>
        </m:r>
        <m:r>
          <m:t>n</m:t>
        </m:r>
        <m:r>
          <m:t>a</m:t>
        </m:r>
        <m:r>
          <m:t>l</m:t>
        </m:r>
        <m:r>
          <m:t>y</m:t>
        </m:r>
        <m:r>
          <m:t>s</m:t>
        </m:r>
        <m:r>
          <m:t>t</m:t>
        </m:r>
        <m:r>
          <m:t>p</m:t>
        </m:r>
        <m:r>
          <m:t>r</m:t>
        </m:r>
        <m:r>
          <m:t>i</m:t>
        </m:r>
        <m:r>
          <m:t>c</m:t>
        </m:r>
        <m:r>
          <m:t>e</m:t>
        </m:r>
        <m:r>
          <m:rPr>
            <m:sty m:val="p"/>
          </m:rPr>
          <m:t>−</m:t>
        </m:r>
        <m:r>
          <m:t>t</m:t>
        </m:r>
        <m:r>
          <m:t>a</m:t>
        </m:r>
        <m:r>
          <m:t>r</m:t>
        </m:r>
        <m:r>
          <m:t>g</m:t>
        </m:r>
        <m:r>
          <m:t>e</m:t>
        </m:r>
        <m:r>
          <m:t>t</m:t>
        </m:r>
        <m:r>
          <m:t>d</m:t>
        </m:r>
        <m:r>
          <m:t>i</m:t>
        </m:r>
        <m:r>
          <m:t>s</m:t>
        </m:r>
        <m:r>
          <m:t>p</m:t>
        </m:r>
        <m:r>
          <m:t>e</m:t>
        </m:r>
        <m:r>
          <m:t>r</m:t>
        </m:r>
        <m:r>
          <m:t>s</m:t>
        </m:r>
        <m:r>
          <m:t>i</m:t>
        </m:r>
        <m:r>
          <m:t>o</m:t>
        </m:r>
        <m:r>
          <m:t>n</m:t>
        </m:r>
        <m:r>
          <m:rPr>
            <m:sty m:val="p"/>
          </m:rPr>
          <m:t>(</m:t>
        </m:r>
      </m:oMath>
      <w:r>
        <w:t xml:space="preserve">500–$1,050), the key swing factors for tomorrow's reaction will be: the magnitude of any beat, the tone and specificity of forward pricing/LTA commentary into calendar 2027–2029, gross-margin cadence, and any update on HAMR qualification progress or Kioxia deal speculation.</w:t>
      </w:r>
    </w:p>
    <w:bookmarkEnd w:id="15"/>
    <w:bookmarkEnd w:id="1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2026-08-05T00:48:10Z</dcterms:created>
  <dcterms:modified xsi:type="dcterms:W3CDTF">2026-08-05T00:48:10Z</dcterms:modified>
</cp:coreProperties>
</file>

<file path=docProps/custom.xml><?xml version="1.0" encoding="utf-8"?>
<Properties xmlns="http://schemas.openxmlformats.org/officeDocument/2006/custom-properties" xmlns:vt="http://schemas.openxmlformats.org/officeDocument/2006/docPropsVTypes"/>
</file>