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6c737b45cf665abd76ba602d8e9e4fb5ccfd05"/>
    <w:p>
      <w:pPr>
        <w:pStyle w:val="Heading1"/>
      </w:pPr>
      <w:r>
        <w:t xml:space="preserve">Western Digital (WDC) Fiscal Q4 2026 Earnings Preview</w:t>
      </w:r>
    </w:p>
    <w:p>
      <w:pPr>
        <w:pStyle w:val="BlockText"/>
      </w:pPr>
      <w:r>
        <w:rPr>
          <w:b/>
          <w:bCs/>
        </w:rPr>
        <w:t xml:space="preserve">Date clarification:</w:t>
      </w:r>
      <w:r>
        <w:t xml:space="preserve"> </w:t>
      </w:r>
      <w:r>
        <w:t xml:space="preserve">Western Digital is scheduled to report</w:t>
      </w:r>
      <w:r>
        <w:t xml:space="preserve"> </w:t>
      </w:r>
      <w:r>
        <w:rPr>
          <w:b/>
          <w:bCs/>
        </w:rPr>
        <w:t xml:space="preserve">today, Wednesday, August 5, 2026</w:t>
      </w:r>
      <w:r>
        <w:t xml:space="preserve">, after the market closes—not tomorrow. The conference call begins at</w:t>
      </w:r>
      <w:r>
        <w:t xml:space="preserve"> </w:t>
      </w:r>
      <w:r>
        <w:rPr>
          <w:b/>
          <w:bCs/>
        </w:rPr>
        <w:t xml:space="preserve">4:30 p.m. Eastern / 1:30 p.m. Pacific</w:t>
      </w:r>
      <w:r>
        <w:t xml:space="preserve">.</w:t>
      </w:r>
    </w:p>
    <w:bookmarkStart w:id="9" w:name="executive-view"/>
    <w:p>
      <w:pPr>
        <w:pStyle w:val="Heading2"/>
      </w:pPr>
      <w:r>
        <w:t xml:space="preserve">Executive view</w:t>
      </w:r>
    </w:p>
    <w:p>
      <w:pPr>
        <w:pStyle w:val="FirstParagraph"/>
      </w:pPr>
      <w:r>
        <w:t xml:space="preserve">WDC enters fiscal Q4 earnings with unusually strong fundamentals—and unusually high expectations.</w:t>
      </w:r>
    </w:p>
    <w:p>
      <w:pPr>
        <w:pStyle w:val="BodyText"/>
      </w:pPr>
      <w:r>
        <w:t xml:space="preserve">The company has transformed into a focused HDD supplier heavily exposed to hyperscale cloud and AI infrastructure. Demand visibility has lengthened, pricing per terabyte has improved, higher-capacity drives are lifting product mix, and operating leverage has pushed profitability toward WDC’s long-term targets much faster than anticipated.</w:t>
      </w:r>
    </w:p>
    <w:p>
      <w:pPr>
        <w:pStyle w:val="BodyText"/>
      </w:pPr>
      <w:r>
        <w:t xml:space="preserve">Accordingly, this report is unlikely to be judged simply on whether WDC beats its Q4 revenue and EPS guidance. Investors will focus on:</w:t>
      </w:r>
    </w:p>
    <w:p>
      <w:pPr>
        <w:pStyle w:val="Compact"/>
        <w:numPr>
          <w:ilvl w:val="0"/>
          <w:numId w:val="1001"/>
        </w:numPr>
      </w:pPr>
      <w:r>
        <w:rPr>
          <w:b/>
          <w:bCs/>
        </w:rPr>
        <w:t xml:space="preserve">Whether gross margin can continue expanding above 50%.</w:t>
      </w:r>
    </w:p>
    <w:p>
      <w:pPr>
        <w:pStyle w:val="Compact"/>
        <w:numPr>
          <w:ilvl w:val="0"/>
          <w:numId w:val="1001"/>
        </w:numPr>
      </w:pPr>
      <w:r>
        <w:rPr>
          <w:b/>
          <w:bCs/>
        </w:rPr>
        <w:t xml:space="preserve">Whether favorable HDD pricing is sustainable into fiscal 2027.</w:t>
      </w:r>
    </w:p>
    <w:p>
      <w:pPr>
        <w:pStyle w:val="Compact"/>
        <w:numPr>
          <w:ilvl w:val="0"/>
          <w:numId w:val="1001"/>
        </w:numPr>
      </w:pPr>
      <w:r>
        <w:rPr>
          <w:b/>
          <w:bCs/>
        </w:rPr>
        <w:t xml:space="preserve">The size and durability of hyperscale exabyte demand.</w:t>
      </w:r>
    </w:p>
    <w:p>
      <w:pPr>
        <w:pStyle w:val="Compact"/>
        <w:numPr>
          <w:ilvl w:val="0"/>
          <w:numId w:val="1001"/>
        </w:numPr>
      </w:pPr>
      <w:r>
        <w:rPr>
          <w:b/>
          <w:bCs/>
        </w:rPr>
        <w:t xml:space="preserve">Execution on 40TB ePMR, UltraSMR and HAMR qualifications.</w:t>
      </w:r>
    </w:p>
    <w:p>
      <w:pPr>
        <w:pStyle w:val="Compact"/>
        <w:numPr>
          <w:ilvl w:val="0"/>
          <w:numId w:val="1001"/>
        </w:numPr>
      </w:pPr>
      <w:r>
        <w:rPr>
          <w:b/>
          <w:bCs/>
        </w:rPr>
        <w:t xml:space="preserve">Fiscal 2027 guidance and capital returns.</w:t>
      </w:r>
    </w:p>
    <w:p>
      <w:pPr>
        <w:pStyle w:val="FirstParagraph"/>
      </w:pPr>
      <w:r>
        <w:t xml:space="preserve">The central risk is expectations. WDC shares closed at</w:t>
      </w:r>
      <w:r>
        <w:t xml:space="preserve"> </w:t>
      </w:r>
      <w:r>
        <w:rPr>
          <w:b/>
          <w:bCs/>
        </w:rPr>
        <w:t xml:space="preserve">$548.60 on August 4</w:t>
      </w:r>
      <w:r>
        <w:t xml:space="preserve">, up approximately</w:t>
      </w:r>
      <w:r>
        <w:t xml:space="preserve"> </w:t>
      </w:r>
      <w:r>
        <w:rPr>
          <w:b/>
          <w:bCs/>
        </w:rPr>
        <w:t xml:space="preserve">192% year to date</w:t>
      </w:r>
      <w:r>
        <w:t xml:space="preserve"> </w:t>
      </w:r>
      <w:r>
        <w:t xml:space="preserve">and 26% since the prior earnings report, although they remain roughly 26% below their June peak. A routine beat may not be enough if the forward outlook does not support continued margin and earnings expansion.</w:t>
      </w:r>
    </w:p>
    <w:p>
      <w:r>
        <w:pict>
          <v:rect style="width:0;height:1.5pt" o:hralign="center" o:hrstd="t" o:hr="t"/>
        </w:pict>
      </w:r>
    </w:p>
    <w:bookmarkEnd w:id="9"/>
    <w:bookmarkStart w:id="12" w:name="numbers-to-know"/>
    <w:p>
      <w:pPr>
        <w:pStyle w:val="Heading2"/>
      </w:pPr>
      <w:r>
        <w:t xml:space="preserve">Numbers to know</w:t>
      </w:r>
    </w:p>
    <w:bookmarkStart w:id="10" w:name="companys-fiscal-q4-guidance"/>
    <w:p>
      <w:pPr>
        <w:pStyle w:val="Heading3"/>
      </w:pPr>
      <w:r>
        <w:t xml:space="preserve">Company’s fiscal Q4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WDC guidance</w:t>
            </w:r>
          </w:p>
        </w:tc>
        <w:tc>
          <w:tcPr/>
          <w:p>
            <w:pPr>
              <w:pStyle w:val="Compact"/>
              <w:jc w:val="right"/>
            </w:pPr>
            <w:r>
              <w:t xml:space="preserve">Midpoint</w:t>
            </w:r>
          </w:p>
        </w:tc>
      </w:tr>
      <w:tr>
        <w:tc>
          <w:tcPr/>
          <w:p>
            <w:pPr>
              <w:pStyle w:val="Compact"/>
            </w:pPr>
            <w:r>
              <w:t xml:space="preserve">Revenue</w:t>
            </w:r>
          </w:p>
        </w:tc>
        <w:tc>
          <w:tcPr/>
          <w:p>
            <w:pPr>
              <w:pStyle w:val="Compact"/>
              <w:jc w:val="right"/>
            </w:pPr>
            <m:oMath>
              <m:r>
                <m:t>3.55</m:t>
              </m:r>
              <m:r>
                <m:t>B</m:t>
              </m:r>
              <m:r>
                <m:rPr>
                  <m:sty m:val="p"/>
                </m:rPr>
                <m:t>–</m:t>
              </m:r>
            </m:oMath>
            <w:r>
              <w:t xml:space="preserve">3.75B</w:t>
            </w:r>
          </w:p>
        </w:tc>
        <w:tc>
          <w:tcPr/>
          <w:p>
            <w:pPr>
              <w:pStyle w:val="Compact"/>
              <w:jc w:val="right"/>
            </w:pPr>
            <w:r>
              <w:rPr>
                <w:b/>
                <w:bCs/>
              </w:rPr>
              <w:t xml:space="preserve">$3.65B</w:t>
            </w:r>
          </w:p>
        </w:tc>
      </w:tr>
      <w:tr>
        <w:tc>
          <w:tcPr/>
          <w:p>
            <w:pPr>
              <w:pStyle w:val="Compact"/>
            </w:pPr>
            <w:r>
              <w:t xml:space="preserve">Non-GAAP gross margin</w:t>
            </w:r>
          </w:p>
        </w:tc>
        <w:tc>
          <w:tcPr/>
          <w:p>
            <w:pPr>
              <w:pStyle w:val="Compact"/>
              <w:jc w:val="right"/>
            </w:pPr>
            <w:r>
              <w:t xml:space="preserve">51%–52%</w:t>
            </w:r>
          </w:p>
        </w:tc>
        <w:tc>
          <w:tcPr/>
          <w:p>
            <w:pPr>
              <w:pStyle w:val="Compact"/>
              <w:jc w:val="right"/>
            </w:pPr>
            <w:r>
              <w:rPr>
                <w:b/>
                <w:bCs/>
              </w:rPr>
              <w:t xml:space="preserve">51.5%</w:t>
            </w:r>
          </w:p>
        </w:tc>
      </w:tr>
      <w:tr>
        <w:tc>
          <w:tcPr/>
          <w:p>
            <w:pPr>
              <w:pStyle w:val="Compact"/>
            </w:pPr>
            <w:r>
              <w:t xml:space="preserve">Non-GAAP operating expenses</w:t>
            </w:r>
          </w:p>
        </w:tc>
        <w:tc>
          <w:tcPr/>
          <w:p>
            <w:pPr>
              <w:pStyle w:val="Compact"/>
              <w:jc w:val="right"/>
            </w:pPr>
            <m:oMath>
              <m:r>
                <m:t>385</m:t>
              </m:r>
              <m:r>
                <m:t>M</m:t>
              </m:r>
              <m:r>
                <m:rPr>
                  <m:sty m:val="p"/>
                </m:rPr>
                <m:t>–</m:t>
              </m:r>
            </m:oMath>
            <w:r>
              <w:t xml:space="preserve">395M</w:t>
            </w:r>
          </w:p>
        </w:tc>
        <w:tc>
          <w:tcPr/>
          <w:p>
            <w:pPr>
              <w:pStyle w:val="Compact"/>
              <w:jc w:val="right"/>
            </w:pPr>
            <w:r>
              <w:rPr>
                <w:b/>
                <w:bCs/>
              </w:rPr>
              <w:t xml:space="preserve">$390M</w:t>
            </w:r>
          </w:p>
        </w:tc>
      </w:tr>
      <w:tr>
        <w:tc>
          <w:tcPr/>
          <w:p>
            <w:pPr>
              <w:pStyle w:val="Compact"/>
            </w:pPr>
            <w:r>
              <w:t xml:space="preserve">Interest and other expense</w:t>
            </w:r>
          </w:p>
        </w:tc>
        <w:tc>
          <w:tcPr/>
          <w:p>
            <w:pPr>
              <w:pStyle w:val="Compact"/>
              <w:jc w:val="right"/>
            </w:pPr>
            <w:r>
              <w:t xml:space="preserve">Approximately $10M</w:t>
            </w:r>
          </w:p>
        </w:tc>
        <w:tc>
          <w:tcPr/>
          <w:p>
            <w:pPr>
              <w:pStyle w:val="Compact"/>
              <w:jc w:val="right"/>
            </w:pPr>
            <w:r>
              <w:t xml:space="preserve">—</w:t>
            </w:r>
          </w:p>
        </w:tc>
      </w:tr>
      <w:tr>
        <w:tc>
          <w:tcPr/>
          <w:p>
            <w:pPr>
              <w:pStyle w:val="Compact"/>
            </w:pPr>
            <w:r>
              <w:t xml:space="preserve">Non-GAAP tax rate</w:t>
            </w:r>
          </w:p>
        </w:tc>
        <w:tc>
          <w:tcPr/>
          <w:p>
            <w:pPr>
              <w:pStyle w:val="Compact"/>
              <w:jc w:val="right"/>
            </w:pPr>
            <w:r>
              <w:t xml:space="preserve">Approximately 16%</w:t>
            </w:r>
          </w:p>
        </w:tc>
        <w:tc>
          <w:tcPr/>
          <w:p>
            <w:pPr>
              <w:pStyle w:val="Compact"/>
              <w:jc w:val="right"/>
            </w:pPr>
            <w:r>
              <w:t xml:space="preserve">—</w:t>
            </w:r>
          </w:p>
        </w:tc>
      </w:tr>
      <w:tr>
        <w:tc>
          <w:tcPr/>
          <w:p>
            <w:pPr>
              <w:pStyle w:val="Compact"/>
            </w:pPr>
            <w:r>
              <w:t xml:space="preserve">Non-GAAP diluted EPS</w:t>
            </w:r>
          </w:p>
        </w:tc>
        <w:tc>
          <w:tcPr/>
          <w:p>
            <w:pPr>
              <w:pStyle w:val="Compact"/>
              <w:jc w:val="right"/>
            </w:pPr>
            <m:oMath>
              <m:r>
                <m:t>3.10</m:t>
              </m:r>
              <m:r>
                <m:rPr>
                  <m:sty m:val="p"/>
                </m:rPr>
                <m:t>–</m:t>
              </m:r>
            </m:oMath>
            <w:r>
              <w:t xml:space="preserve">3.40</w:t>
            </w:r>
          </w:p>
        </w:tc>
        <w:tc>
          <w:tcPr/>
          <w:p>
            <w:pPr>
              <w:pStyle w:val="Compact"/>
              <w:jc w:val="right"/>
            </w:pPr>
            <w:r>
              <w:rPr>
                <w:b/>
                <w:bCs/>
              </w:rPr>
              <w:t xml:space="preserve">$3.25</w:t>
            </w:r>
          </w:p>
        </w:tc>
      </w:tr>
      <w:tr>
        <w:tc>
          <w:tcPr/>
          <w:p>
            <w:pPr>
              <w:pStyle w:val="Compact"/>
            </w:pPr>
            <w:r>
              <w:t xml:space="preserve">Diluted share count</w:t>
            </w:r>
          </w:p>
        </w:tc>
        <w:tc>
          <w:tcPr/>
          <w:p>
            <w:pPr>
              <w:pStyle w:val="Compact"/>
              <w:jc w:val="right"/>
            </w:pPr>
            <w:r>
              <w:t xml:space="preserve">Approximately 385M</w:t>
            </w:r>
          </w:p>
        </w:tc>
        <w:tc>
          <w:tcPr/>
          <w:p>
            <w:pPr>
              <w:pStyle w:val="Compact"/>
              <w:jc w:val="right"/>
            </w:pPr>
            <w:r>
              <w:t xml:space="preserve">—</w:t>
            </w:r>
          </w:p>
        </w:tc>
      </w:tr>
    </w:tbl>
    <w:p>
      <w:pPr>
        <w:pStyle w:val="BodyText"/>
      </w:pPr>
      <w:r>
        <w:t xml:space="preserve">Recent aggregated market estimates point to approximately</w:t>
      </w:r>
      <w:r>
        <w:t xml:space="preserve"> </w:t>
      </w:r>
      <w:r>
        <w:rPr>
          <w:b/>
          <w:bCs/>
        </w:rPr>
        <w:t xml:space="preserve">$3.69 billion of revenue and $3.31 of non-GAAP EPS</w:t>
      </w:r>
      <w:r>
        <w:t xml:space="preserve">, modestly above management’s midpoint. That means the published bar is already near the upper half of WDC’s range.</w:t>
      </w:r>
    </w:p>
    <w:p>
      <w:pPr>
        <w:pStyle w:val="BodyText"/>
      </w:pPr>
      <w:r>
        <w:t xml:space="preserve">One underappreciated point: at the midpoint, WDC’s guidance implies approximately</w:t>
      </w:r>
      <w:r>
        <w:t xml:space="preserve"> </w:t>
      </w:r>
      <w:r>
        <w:rPr>
          <w:b/>
          <w:bCs/>
        </w:rPr>
        <w:t xml:space="preserve">$1.49 billion of non-GAAP operating income</w:t>
      </w:r>
      <w:r>
        <w:t xml:space="preserve">, or an operating margin near</w:t>
      </w:r>
      <w:r>
        <w:t xml:space="preserve"> </w:t>
      </w:r>
      <w:r>
        <w:rPr>
          <w:b/>
          <w:bCs/>
        </w:rPr>
        <w:t xml:space="preserve">41%</w:t>
      </w:r>
      <w:r>
        <w:t xml:space="preserve">. That would put the company at its long-term target of greater than 40% operating margin considerably earlier than the original three-to-five-year framework might suggest.</w:t>
      </w:r>
    </w:p>
    <w:bookmarkEnd w:id="10"/>
    <w:bookmarkStart w:id="11" w:name="prior-quarter-performance"/>
    <w:p>
      <w:pPr>
        <w:pStyle w:val="Heading3"/>
      </w:pPr>
      <w:r>
        <w:t xml:space="preserve">Prior-quarter performance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Fiscal Q3 2026</w:t>
            </w:r>
          </w:p>
        </w:tc>
      </w:tr>
      <w:tr>
        <w:tc>
          <w:tcPr/>
          <w:p>
            <w:pPr>
              <w:pStyle w:val="Compact"/>
            </w:pPr>
            <w:r>
              <w:t xml:space="preserve">Revenue</w:t>
            </w:r>
          </w:p>
        </w:tc>
        <w:tc>
          <w:tcPr/>
          <w:p>
            <w:pPr>
              <w:pStyle w:val="Compact"/>
              <w:jc w:val="right"/>
            </w:pPr>
            <w:r>
              <w:rPr>
                <w:b/>
                <w:bCs/>
              </w:rPr>
              <w:t xml:space="preserve">$3.337B</w:t>
            </w:r>
          </w:p>
        </w:tc>
      </w:tr>
      <w:tr>
        <w:tc>
          <w:tcPr/>
          <w:p>
            <w:pPr>
              <w:pStyle w:val="Compact"/>
            </w:pPr>
            <w:r>
              <w:t xml:space="preserve">Year-over-year growth</w:t>
            </w:r>
          </w:p>
        </w:tc>
        <w:tc>
          <w:tcPr/>
          <w:p>
            <w:pPr>
              <w:pStyle w:val="Compact"/>
              <w:jc w:val="right"/>
            </w:pPr>
            <w:r>
              <w:rPr>
                <w:b/>
                <w:bCs/>
              </w:rPr>
              <w:t xml:space="preserve">45%</w:t>
            </w:r>
          </w:p>
        </w:tc>
      </w:tr>
      <w:tr>
        <w:tc>
          <w:tcPr/>
          <w:p>
            <w:pPr>
              <w:pStyle w:val="Compact"/>
            </w:pPr>
            <w:r>
              <w:t xml:space="preserve">Non-GAAP gross margin</w:t>
            </w:r>
          </w:p>
        </w:tc>
        <w:tc>
          <w:tcPr/>
          <w:p>
            <w:pPr>
              <w:pStyle w:val="Compact"/>
              <w:jc w:val="right"/>
            </w:pPr>
            <w:r>
              <w:rPr>
                <w:b/>
                <w:bCs/>
              </w:rPr>
              <w:t xml:space="preserve">50.5%</w:t>
            </w:r>
          </w:p>
        </w:tc>
      </w:tr>
      <w:tr>
        <w:tc>
          <w:tcPr/>
          <w:p>
            <w:pPr>
              <w:pStyle w:val="Compact"/>
            </w:pPr>
            <w:r>
              <w:t xml:space="preserve">Non-GAAP operating margin</w:t>
            </w:r>
          </w:p>
        </w:tc>
        <w:tc>
          <w:tcPr/>
          <w:p>
            <w:pPr>
              <w:pStyle w:val="Compact"/>
              <w:jc w:val="right"/>
            </w:pPr>
            <w:r>
              <w:rPr>
                <w:b/>
                <w:bCs/>
              </w:rPr>
              <w:t xml:space="preserve">38.6%</w:t>
            </w:r>
          </w:p>
        </w:tc>
      </w:tr>
      <w:tr>
        <w:tc>
          <w:tcPr/>
          <w:p>
            <w:pPr>
              <w:pStyle w:val="Compact"/>
            </w:pPr>
            <w:r>
              <w:t xml:space="preserve">Non-GAAP EPS</w:t>
            </w:r>
          </w:p>
        </w:tc>
        <w:tc>
          <w:tcPr/>
          <w:p>
            <w:pPr>
              <w:pStyle w:val="Compact"/>
              <w:jc w:val="right"/>
            </w:pPr>
            <w:r>
              <w:rPr>
                <w:b/>
                <w:bCs/>
              </w:rPr>
              <w:t xml:space="preserve">$2.72</w:t>
            </w:r>
          </w:p>
        </w:tc>
      </w:tr>
      <w:tr>
        <w:tc>
          <w:tcPr/>
          <w:p>
            <w:pPr>
              <w:pStyle w:val="Compact"/>
            </w:pPr>
            <w:r>
              <w:t xml:space="preserve">Exabytes shipped</w:t>
            </w:r>
          </w:p>
        </w:tc>
        <w:tc>
          <w:tcPr/>
          <w:p>
            <w:pPr>
              <w:pStyle w:val="Compact"/>
              <w:jc w:val="right"/>
            </w:pPr>
            <w:r>
              <w:rPr>
                <w:b/>
                <w:bCs/>
              </w:rPr>
              <w:t xml:space="preserve">222 EB</w:t>
            </w:r>
          </w:p>
        </w:tc>
      </w:tr>
      <w:tr>
        <w:tc>
          <w:tcPr/>
          <w:p>
            <w:pPr>
              <w:pStyle w:val="Compact"/>
            </w:pPr>
            <w:r>
              <w:t xml:space="preserve">Operating cash flow</w:t>
            </w:r>
          </w:p>
        </w:tc>
        <w:tc>
          <w:tcPr/>
          <w:p>
            <w:pPr>
              <w:pStyle w:val="Compact"/>
              <w:jc w:val="right"/>
            </w:pPr>
            <w:r>
              <w:rPr>
                <w:b/>
                <w:bCs/>
              </w:rPr>
              <w:t xml:space="preserve">$1.123B</w:t>
            </w:r>
          </w:p>
        </w:tc>
      </w:tr>
      <w:tr>
        <w:tc>
          <w:tcPr/>
          <w:p>
            <w:pPr>
              <w:pStyle w:val="Compact"/>
            </w:pPr>
            <w:r>
              <w:t xml:space="preserve">Free cash flow</w:t>
            </w:r>
          </w:p>
        </w:tc>
        <w:tc>
          <w:tcPr/>
          <w:p>
            <w:pPr>
              <w:pStyle w:val="Compact"/>
              <w:jc w:val="right"/>
            </w:pPr>
            <w:r>
              <w:rPr>
                <w:b/>
                <w:bCs/>
              </w:rPr>
              <w:t xml:space="preserve">$978M</w:t>
            </w:r>
          </w:p>
        </w:tc>
      </w:tr>
      <w:tr>
        <w:tc>
          <w:tcPr/>
          <w:p>
            <w:pPr>
              <w:pStyle w:val="Compact"/>
            </w:pPr>
            <w:r>
              <w:t xml:space="preserve">Free-cash-flow margin</w:t>
            </w:r>
          </w:p>
        </w:tc>
        <w:tc>
          <w:tcPr/>
          <w:p>
            <w:pPr>
              <w:pStyle w:val="Compact"/>
              <w:jc w:val="right"/>
            </w:pPr>
            <w:r>
              <w:rPr>
                <w:b/>
                <w:bCs/>
              </w:rPr>
              <w:t xml:space="preserve">29%</w:t>
            </w:r>
          </w:p>
        </w:tc>
      </w:tr>
    </w:tbl>
    <w:p>
      <w:pPr>
        <w:pStyle w:val="BodyText"/>
      </w:pPr>
      <w:r>
        <w:t xml:space="preserve">Fiscal Q3 revenue, gross margin and EPS all exceeded the high end of WDC’s guidance. Q4 guidance calls for another sequential step up in revenue, gross margin and EPS.</w:t>
      </w:r>
    </w:p>
    <w:p>
      <w:pPr>
        <w:pStyle w:val="BodyText"/>
      </w:pPr>
      <w:r>
        <w:t xml:space="preserve">Investors should focus on</w:t>
      </w:r>
      <w:r>
        <w:t xml:space="preserve"> </w:t>
      </w:r>
      <w:r>
        <w:rPr>
          <w:b/>
          <w:bCs/>
        </w:rPr>
        <w:t xml:space="preserve">non-GAAP EPS and cash flow</w:t>
      </w:r>
      <w:r>
        <w:t xml:space="preserve">, rather than headline GAAP EPS. WDC’s retained Sandisk stake and related transactions have created large mark-to-market and transaction-related gains and charges that obscure underlying operating performance.</w:t>
      </w:r>
    </w:p>
    <w:p>
      <w:r>
        <w:pict>
          <v:rect style="width:0;height:1.5pt" o:hralign="center" o:hrstd="t" o:hr="t"/>
        </w:pict>
      </w:r>
    </w:p>
    <w:bookmarkEnd w:id="11"/>
    <w:bookmarkEnd w:id="12"/>
    <w:bookmarkStart w:id="13" w:name="the-core-earnings-debate"/>
    <w:p>
      <w:pPr>
        <w:pStyle w:val="Heading2"/>
      </w:pPr>
      <w:r>
        <w:t xml:space="preserve">The core earnings debate</w:t>
      </w:r>
    </w:p>
    <w:bookmarkEnd w:id="13"/>
    <w:bookmarkStart w:id="16" w:name="Xc1aee9a023c271c1df440cea8e0909e33996f14"/>
    <w:p>
      <w:pPr>
        <w:pStyle w:val="Heading2"/>
      </w:pPr>
      <w:r>
        <w:t xml:space="preserve">1. Can gross margin keep rising?</w:t>
      </w:r>
    </w:p>
    <w:p>
      <w:pPr>
        <w:pStyle w:val="FirstParagraph"/>
      </w:pPr>
      <w:r>
        <w:t xml:space="preserve">Gross margin is probably the single most important metric in the report.</w:t>
      </w:r>
    </w:p>
    <w:p>
      <w:pPr>
        <w:pStyle w:val="BodyText"/>
      </w:pPr>
      <w:r>
        <w:t xml:space="preserve">Non-GAAP gross margin increased from 46.1% in fiscal Q2 to 50.5% in Q3, and management guided to 51%–52% for Q4. The improvement has come from three sources:</w:t>
      </w:r>
    </w:p>
    <w:p>
      <w:pPr>
        <w:pStyle w:val="Compact"/>
        <w:numPr>
          <w:ilvl w:val="0"/>
          <w:numId w:val="1002"/>
        </w:numPr>
      </w:pPr>
      <w:r>
        <w:t xml:space="preserve">Higher pricing per terabyte.</w:t>
      </w:r>
    </w:p>
    <w:p>
      <w:pPr>
        <w:pStyle w:val="Compact"/>
        <w:numPr>
          <w:ilvl w:val="0"/>
          <w:numId w:val="1002"/>
        </w:numPr>
      </w:pPr>
      <w:r>
        <w:t xml:space="preserve">A mix shift toward higher-capacity drives and UltraSMR.</w:t>
      </w:r>
    </w:p>
    <w:p>
      <w:pPr>
        <w:pStyle w:val="Compact"/>
        <w:numPr>
          <w:ilvl w:val="0"/>
          <w:numId w:val="1002"/>
        </w:numPr>
      </w:pPr>
      <w:r>
        <w:t xml:space="preserve">Lower cost per exabyte through areal-density gains and manufacturing execution.</w:t>
      </w:r>
    </w:p>
    <w:p>
      <w:pPr>
        <w:pStyle w:val="FirstParagraph"/>
      </w:pPr>
      <w:r>
        <w:t xml:space="preserve">Management said pricing per terabyte increased approximately 9% year over year in Q3, while cost per exabyte declined around 10%. That combination is producing powerful incremental margins.</w:t>
      </w:r>
    </w:p>
    <w:bookmarkStart w:id="14" w:name="what-would-be-encouraging"/>
    <w:p>
      <w:pPr>
        <w:pStyle w:val="Heading3"/>
      </w:pPr>
      <w:r>
        <w:t xml:space="preserve">What would be encouraging</w:t>
      </w:r>
    </w:p>
    <w:p>
      <w:pPr>
        <w:pStyle w:val="Compact"/>
        <w:numPr>
          <w:ilvl w:val="0"/>
          <w:numId w:val="1003"/>
        </w:numPr>
      </w:pPr>
      <w:r>
        <w:t xml:space="preserve">Gross margin at or above the</w:t>
      </w:r>
      <w:r>
        <w:t xml:space="preserve"> </w:t>
      </w:r>
      <w:r>
        <w:rPr>
          <w:b/>
          <w:bCs/>
        </w:rPr>
        <w:t xml:space="preserve">52% high end</w:t>
      </w:r>
      <w:r>
        <w:t xml:space="preserve">.</w:t>
      </w:r>
    </w:p>
    <w:p>
      <w:pPr>
        <w:pStyle w:val="Compact"/>
        <w:numPr>
          <w:ilvl w:val="0"/>
          <w:numId w:val="1003"/>
        </w:numPr>
      </w:pPr>
      <w:r>
        <w:t xml:space="preserve">Guidance indicating margins can remain above 50% through fiscal 2027.</w:t>
      </w:r>
    </w:p>
    <w:p>
      <w:pPr>
        <w:pStyle w:val="Compact"/>
        <w:numPr>
          <w:ilvl w:val="0"/>
          <w:numId w:val="1003"/>
        </w:numPr>
      </w:pPr>
      <w:r>
        <w:t xml:space="preserve">Continued high-single-digit pricing growth or similarly constructive contract economics.</w:t>
      </w:r>
    </w:p>
    <w:p>
      <w:pPr>
        <w:pStyle w:val="Compact"/>
        <w:numPr>
          <w:ilvl w:val="0"/>
          <w:numId w:val="1003"/>
        </w:numPr>
      </w:pPr>
      <w:r>
        <w:t xml:space="preserve">Confirmation that new ePMR and eventual HAMR products will be neutral to accretive to margin.</w:t>
      </w:r>
    </w:p>
    <w:bookmarkEnd w:id="14"/>
    <w:bookmarkStart w:id="15" w:name="what-would-be-concerning"/>
    <w:p>
      <w:pPr>
        <w:pStyle w:val="Heading3"/>
      </w:pPr>
      <w:r>
        <w:t xml:space="preserve">What would be concerning</w:t>
      </w:r>
    </w:p>
    <w:p>
      <w:pPr>
        <w:pStyle w:val="Compact"/>
        <w:numPr>
          <w:ilvl w:val="0"/>
          <w:numId w:val="1004"/>
        </w:numPr>
      </w:pPr>
      <w:r>
        <w:t xml:space="preserve">Gross margin below 51%, even with a revenue beat.</w:t>
      </w:r>
    </w:p>
    <w:p>
      <w:pPr>
        <w:pStyle w:val="Compact"/>
        <w:numPr>
          <w:ilvl w:val="0"/>
          <w:numId w:val="1004"/>
        </w:numPr>
      </w:pPr>
      <w:r>
        <w:t xml:space="preserve">Evidence that spot pricing, customer negotiations or product mix are becoming less favorable.</w:t>
      </w:r>
    </w:p>
    <w:p>
      <w:pPr>
        <w:pStyle w:val="Compact"/>
        <w:numPr>
          <w:ilvl w:val="0"/>
          <w:numId w:val="1004"/>
        </w:numPr>
      </w:pPr>
      <w:r>
        <w:t xml:space="preserve">Higher-than-expected qualification, yield or manufacturing costs.</w:t>
      </w:r>
    </w:p>
    <w:p>
      <w:pPr>
        <w:pStyle w:val="Compact"/>
        <w:numPr>
          <w:ilvl w:val="0"/>
          <w:numId w:val="1004"/>
        </w:numPr>
      </w:pPr>
      <w:r>
        <w:t xml:space="preserve">Management characterizing Q4 profitability as a temporary peak.</w:t>
      </w:r>
    </w:p>
    <w:p>
      <w:pPr>
        <w:pStyle w:val="FirstParagraph"/>
      </w:pPr>
      <w:r>
        <w:t xml:space="preserve">WDC’s long-term model calls for gross margin above 50%. With the company already operating near that target, the debate is shifting from</w:t>
      </w:r>
      <w:r>
        <w:t xml:space="preserve"> </w:t>
      </w:r>
      <w:r>
        <w:rPr>
          <w:i/>
          <w:iCs/>
        </w:rPr>
        <w:t xml:space="preserve">whether</w:t>
      </w:r>
      <w:r>
        <w:t xml:space="preserve"> </w:t>
      </w:r>
      <w:r>
        <w:t xml:space="preserve">it can reach 50% to</w:t>
      </w:r>
      <w:r>
        <w:t xml:space="preserve"> </w:t>
      </w:r>
      <w:r>
        <w:rPr>
          <w:i/>
          <w:iCs/>
        </w:rPr>
        <w:t xml:space="preserve">how far above 50% margins can go and how durable they are</w:t>
      </w:r>
      <w:r>
        <w:t xml:space="preserve">.</w:t>
      </w:r>
    </w:p>
    <w:p>
      <w:r>
        <w:pict>
          <v:rect style="width:0;height:1.5pt" o:hralign="center" o:hrstd="t" o:hr="t"/>
        </w:pict>
      </w:r>
    </w:p>
    <w:bookmarkEnd w:id="15"/>
    <w:bookmarkEnd w:id="16"/>
    <w:bookmarkStart w:id="17" w:name="X168cbd8a3f95dce8681886ee6a481498263d6a8"/>
    <w:p>
      <w:pPr>
        <w:pStyle w:val="Heading2"/>
      </w:pPr>
      <w:r>
        <w:t xml:space="preserve">2. Is favorable HDD pricing structural?</w:t>
      </w:r>
    </w:p>
    <w:p>
      <w:pPr>
        <w:pStyle w:val="FirstParagraph"/>
      </w:pPr>
      <w:r>
        <w:t xml:space="preserve">Historically, storage investors treated pricing strength as cyclical. Management argues that the current environment is different because pricing is increasingly tied to customer value and multiyear agreements—not merely temporary supply tightness.</w:t>
      </w:r>
    </w:p>
    <w:p>
      <w:pPr>
        <w:pStyle w:val="BodyText"/>
      </w:pPr>
      <w:r>
        <w:t xml:space="preserve">WDC’s long-term agreements are based on exabyte volumes and include pricing provisions, with commercial visibility extending into calendar 2028 and 2029. Management has emphasized that customers want predictable pricing so they can make multiyear data-center architecture decisions.</w:t>
      </w:r>
    </w:p>
    <w:p>
      <w:pPr>
        <w:pStyle w:val="BodyText"/>
      </w:pPr>
      <w:r>
        <w:t xml:space="preserve">The report should help distinguish between two interpretations:</w:t>
      </w:r>
    </w:p>
    <w:p>
      <w:pPr>
        <w:pStyle w:val="Compact"/>
        <w:numPr>
          <w:ilvl w:val="0"/>
          <w:numId w:val="1005"/>
        </w:numPr>
      </w:pPr>
      <w:r>
        <w:rPr>
          <w:b/>
          <w:bCs/>
        </w:rPr>
        <w:t xml:space="preserve">Bull case:</w:t>
      </w:r>
      <w:r>
        <w:t xml:space="preserve"> </w:t>
      </w:r>
      <w:r>
        <w:t xml:space="preserve">Higher-capacity products reduce customers’ total cost of ownership, allowing WDC to retain part of that value through stable or rising per-terabyte pricing.</w:t>
      </w:r>
    </w:p>
    <w:p>
      <w:pPr>
        <w:pStyle w:val="Compact"/>
        <w:numPr>
          <w:ilvl w:val="0"/>
          <w:numId w:val="1005"/>
        </w:numPr>
      </w:pPr>
      <w:r>
        <w:rPr>
          <w:b/>
          <w:bCs/>
        </w:rPr>
        <w:t xml:space="preserve">Bear case:</w:t>
      </w:r>
      <w:r>
        <w:t xml:space="preserve"> </w:t>
      </w:r>
      <w:r>
        <w:t xml:space="preserve">Current pricing reflects exceptional supply tightness and could normalize once areal-density gains increase available exabytes.</w:t>
      </w:r>
    </w:p>
    <w:p>
      <w:pPr>
        <w:pStyle w:val="FirstParagraph"/>
      </w:pPr>
      <w:r>
        <w:t xml:space="preserve">Key questions for management include:</w:t>
      </w:r>
    </w:p>
    <w:p>
      <w:pPr>
        <w:pStyle w:val="Compact"/>
        <w:numPr>
          <w:ilvl w:val="0"/>
          <w:numId w:val="1006"/>
        </w:numPr>
      </w:pPr>
      <w:r>
        <w:t xml:space="preserve">Did Q4 pricing per terabyte remain near Q3’s high-single-digit growth rate?</w:t>
      </w:r>
    </w:p>
    <w:p>
      <w:pPr>
        <w:pStyle w:val="Compact"/>
        <w:numPr>
          <w:ilvl w:val="0"/>
          <w:numId w:val="1006"/>
        </w:numPr>
      </w:pPr>
      <w:r>
        <w:t xml:space="preserve">What pricing assumptions are embedded in fiscal 2027 guidance?</w:t>
      </w:r>
    </w:p>
    <w:p>
      <w:pPr>
        <w:pStyle w:val="Compact"/>
        <w:numPr>
          <w:ilvl w:val="0"/>
          <w:numId w:val="1006"/>
        </w:numPr>
      </w:pPr>
      <w:r>
        <w:t xml:space="preserve">How much fiscal 2027 demand is covered by purchase orders versus longer-dated agreements?</w:t>
      </w:r>
    </w:p>
    <w:p>
      <w:pPr>
        <w:pStyle w:val="Compact"/>
        <w:numPr>
          <w:ilvl w:val="0"/>
          <w:numId w:val="1006"/>
        </w:numPr>
      </w:pPr>
      <w:r>
        <w:t xml:space="preserve">Are customers seeking more capacity than WDC has committed to provide?</w:t>
      </w:r>
    </w:p>
    <w:p>
      <w:pPr>
        <w:pStyle w:val="Compact"/>
        <w:numPr>
          <w:ilvl w:val="0"/>
          <w:numId w:val="1006"/>
        </w:numPr>
      </w:pPr>
      <w:r>
        <w:t xml:space="preserve">Is supply-demand tightness still expected to persist through calendar 2027?</w:t>
      </w:r>
    </w:p>
    <w:p>
      <w:r>
        <w:pict>
          <v:rect style="width:0;height:1.5pt" o:hralign="center" o:hrstd="t" o:hr="t"/>
        </w:pict>
      </w:r>
    </w:p>
    <w:bookmarkEnd w:id="17"/>
    <w:bookmarkStart w:id="18" w:name="Xfd8b15e90710ce790d5a00b1f6862801eeff0de"/>
    <w:p>
      <w:pPr>
        <w:pStyle w:val="Heading2"/>
      </w:pPr>
      <w:r>
        <w:t xml:space="preserve">3. AI demand must translate into measurable exabyte growth</w:t>
      </w:r>
    </w:p>
    <w:p>
      <w:pPr>
        <w:pStyle w:val="FirstParagraph"/>
      </w:pPr>
      <w:r>
        <w:t xml:space="preserve">WDC argues that AI storage demand extends well beyond model training. Inference, agentic workflows, synthetic data and physical AI all create new data that must be stored persistently.</w:t>
      </w:r>
    </w:p>
    <w:p>
      <w:pPr>
        <w:pStyle w:val="BodyText"/>
      </w:pPr>
      <w:r>
        <w:t xml:space="preserve">Management expects long-term storage demand growth above 25%, with HDDs retaining roughly 80% of hyperscale storage because of their cost advantage for large-scale object storage.</w:t>
      </w:r>
    </w:p>
    <w:p>
      <w:pPr>
        <w:pStyle w:val="BodyText"/>
      </w:pPr>
      <w:r>
        <w:t xml:space="preserve">The strategic argument is credible, but investors need continued operating evidence. Watch for:</w:t>
      </w:r>
    </w:p>
    <w:p>
      <w:pPr>
        <w:pStyle w:val="Compact"/>
        <w:numPr>
          <w:ilvl w:val="0"/>
          <w:numId w:val="1007"/>
        </w:numPr>
      </w:pPr>
      <w:r>
        <w:t xml:space="preserve">Total exabytes shipped versus Q3’s</w:t>
      </w:r>
      <w:r>
        <w:t xml:space="preserve"> </w:t>
      </w:r>
      <w:r>
        <w:rPr>
          <w:b/>
          <w:bCs/>
        </w:rPr>
        <w:t xml:space="preserve">222 EB</w:t>
      </w:r>
      <w:r>
        <w:t xml:space="preserve">.</w:t>
      </w:r>
    </w:p>
    <w:p>
      <w:pPr>
        <w:pStyle w:val="Compact"/>
        <w:numPr>
          <w:ilvl w:val="0"/>
          <w:numId w:val="1007"/>
        </w:numPr>
      </w:pPr>
      <w:r>
        <w:t xml:space="preserve">Nearline exabyte growth.</w:t>
      </w:r>
    </w:p>
    <w:p>
      <w:pPr>
        <w:pStyle w:val="Compact"/>
        <w:numPr>
          <w:ilvl w:val="0"/>
          <w:numId w:val="1007"/>
        </w:numPr>
      </w:pPr>
      <w:r>
        <w:t xml:space="preserve">Cloud revenue growth and mix.</w:t>
      </w:r>
    </w:p>
    <w:p>
      <w:pPr>
        <w:pStyle w:val="Compact"/>
        <w:numPr>
          <w:ilvl w:val="0"/>
          <w:numId w:val="1007"/>
        </w:numPr>
      </w:pPr>
      <w:r>
        <w:t xml:space="preserve">Demand patterns among WDC’s four largest hyperscale customers.</w:t>
      </w:r>
    </w:p>
    <w:p>
      <w:pPr>
        <w:pStyle w:val="Compact"/>
        <w:numPr>
          <w:ilvl w:val="0"/>
          <w:numId w:val="1007"/>
        </w:numPr>
      </w:pPr>
      <w:r>
        <w:t xml:space="preserve">Changes in lead times and order coverage.</w:t>
      </w:r>
    </w:p>
    <w:p>
      <w:pPr>
        <w:pStyle w:val="Compact"/>
        <w:numPr>
          <w:ilvl w:val="0"/>
          <w:numId w:val="1007"/>
        </w:numPr>
      </w:pPr>
      <w:r>
        <w:t xml:space="preserve">Any divergence between North American and Asian cloud customers.</w:t>
      </w:r>
    </w:p>
    <w:p>
      <w:pPr>
        <w:pStyle w:val="FirstParagraph"/>
      </w:pPr>
      <w:r>
        <w:t xml:space="preserve">Cloud generated</w:t>
      </w:r>
      <w:r>
        <w:t xml:space="preserve"> </w:t>
      </w:r>
      <w:r>
        <w:rPr>
          <w:b/>
          <w:bCs/>
        </w:rPr>
        <w:t xml:space="preserve">89% of Q3 revenue</w:t>
      </w:r>
      <w:r>
        <w:t xml:space="preserve">, making WDC more concentrated but also more directly exposed to hyperscale infrastructure spending. A slowdown at even one major customer could matter.</w:t>
      </w:r>
    </w:p>
    <w:p>
      <w:r>
        <w:pict>
          <v:rect style="width:0;height:1.5pt" o:hralign="center" o:hrstd="t" o:hr="t"/>
        </w:pict>
      </w:r>
    </w:p>
    <w:bookmarkEnd w:id="18"/>
    <w:bookmarkStart w:id="19" w:name="product-road-map-checkpoints"/>
    <w:p>
      <w:pPr>
        <w:pStyle w:val="Heading2"/>
      </w:pPr>
      <w:r>
        <w:t xml:space="preserve">Product-road-map checkpoints</w:t>
      </w:r>
    </w:p>
    <w:bookmarkEnd w:id="19"/>
    <w:bookmarkStart w:id="20" w:name="Xdf7c3358a78795c2efbd337ecb28f9ce61e8553"/>
    <w:p>
      <w:pPr>
        <w:pStyle w:val="Heading2"/>
      </w:pPr>
      <w:r>
        <w:t xml:space="preserve">4. The 40TB ePMR ramp</w:t>
      </w:r>
    </w:p>
    <w:p>
      <w:pPr>
        <w:pStyle w:val="FirstParagraph"/>
      </w:pPr>
      <w:r>
        <w:t xml:space="preserve">WDC’s next-generation 40TB ePMR drive is expected to enter volume production during the second half of calendar 2026. At the previous earnings call:</w:t>
      </w:r>
    </w:p>
    <w:p>
      <w:pPr>
        <w:pStyle w:val="Compact"/>
        <w:numPr>
          <w:ilvl w:val="0"/>
          <w:numId w:val="1008"/>
        </w:numPr>
      </w:pPr>
      <w:r>
        <w:t xml:space="preserve">Three customers were qualifying the product.</w:t>
      </w:r>
    </w:p>
    <w:p>
      <w:pPr>
        <w:pStyle w:val="Compact"/>
        <w:numPr>
          <w:ilvl w:val="0"/>
          <w:numId w:val="1008"/>
        </w:numPr>
      </w:pPr>
      <w:r>
        <w:t xml:space="preserve">Management expected a 25% capacity step-up from current 32TB drives.</w:t>
      </w:r>
    </w:p>
    <w:p>
      <w:pPr>
        <w:pStyle w:val="Compact"/>
        <w:numPr>
          <w:ilvl w:val="0"/>
          <w:numId w:val="1008"/>
        </w:numPr>
      </w:pPr>
      <w:r>
        <w:t xml:space="preserve">Yields were described as being around 90%.</w:t>
      </w:r>
    </w:p>
    <w:p>
      <w:pPr>
        <w:pStyle w:val="Compact"/>
        <w:numPr>
          <w:ilvl w:val="0"/>
          <w:numId w:val="1008"/>
        </w:numPr>
      </w:pPr>
      <w:r>
        <w:t xml:space="preserve">No increase in total unit capacity was considered necessary.</w:t>
      </w:r>
    </w:p>
    <w:p>
      <w:pPr>
        <w:pStyle w:val="FirstParagraph"/>
      </w:pPr>
      <w:r>
        <w:t xml:space="preserve">The 40TB ramp is central to the fiscal 2027 thesis because it allows WDC to ship more exabytes without proportionately increasing drive units or capital expenditures.</w:t>
      </w:r>
    </w:p>
    <w:p>
      <w:pPr>
        <w:pStyle w:val="BodyText"/>
      </w:pPr>
      <w:r>
        <w:t xml:space="preserve">Investors should listen for:</w:t>
      </w:r>
    </w:p>
    <w:p>
      <w:pPr>
        <w:pStyle w:val="Compact"/>
        <w:numPr>
          <w:ilvl w:val="0"/>
          <w:numId w:val="1009"/>
        </w:numPr>
      </w:pPr>
      <w:r>
        <w:t xml:space="preserve">Whether volume production remains on schedule.</w:t>
      </w:r>
    </w:p>
    <w:p>
      <w:pPr>
        <w:pStyle w:val="Compact"/>
        <w:numPr>
          <w:ilvl w:val="0"/>
          <w:numId w:val="1009"/>
        </w:numPr>
      </w:pPr>
      <w:r>
        <w:t xml:space="preserve">Qualification completions and committed customer ramps.</w:t>
      </w:r>
    </w:p>
    <w:p>
      <w:pPr>
        <w:pStyle w:val="Compact"/>
        <w:numPr>
          <w:ilvl w:val="0"/>
          <w:numId w:val="1009"/>
        </w:numPr>
      </w:pPr>
      <w:r>
        <w:t xml:space="preserve">Yield and reliability performance.</w:t>
      </w:r>
    </w:p>
    <w:p>
      <w:pPr>
        <w:pStyle w:val="Compact"/>
        <w:numPr>
          <w:ilvl w:val="0"/>
          <w:numId w:val="1009"/>
        </w:numPr>
      </w:pPr>
      <w:r>
        <w:t xml:space="preserve">Timing of meaningful revenue contribution.</w:t>
      </w:r>
    </w:p>
    <w:p>
      <w:pPr>
        <w:pStyle w:val="Compact"/>
        <w:numPr>
          <w:ilvl w:val="0"/>
          <w:numId w:val="1009"/>
        </w:numPr>
      </w:pPr>
      <w:r>
        <w:t xml:space="preserve">Whether 40TB products are carrying the expected pricing and margin uplift.</w:t>
      </w:r>
    </w:p>
    <w:p>
      <w:pPr>
        <w:pStyle w:val="FirstParagraph"/>
      </w:pPr>
      <w:r>
        <w:t xml:space="preserve">A delay would affect supply growth, cost reductions and customer confidence simultaneously.</w:t>
      </w:r>
    </w:p>
    <w:bookmarkEnd w:id="20"/>
    <w:bookmarkStart w:id="21" w:name="Xca53526932d06071ca790d1ba09d492959eff86"/>
    <w:p>
      <w:pPr>
        <w:pStyle w:val="Heading2"/>
      </w:pPr>
      <w:r>
        <w:t xml:space="preserve">5. UltraSMR adoption</w:t>
      </w:r>
    </w:p>
    <w:p>
      <w:pPr>
        <w:pStyle w:val="FirstParagraph"/>
      </w:pPr>
      <w:r>
        <w:t xml:space="preserve">UltraSMR increases usable capacity by approximately 20% without a corresponding increase in physical drive cost. Three major customers had adopted the technology as of Q3, with two sourcing nearly all their exabyte demand through UltraSMR and a third ramping toward that level.</w:t>
      </w:r>
    </w:p>
    <w:p>
      <w:pPr>
        <w:pStyle w:val="BodyText"/>
      </w:pPr>
      <w:r>
        <w:t xml:space="preserve">WDC expects close to</w:t>
      </w:r>
      <w:r>
        <w:t xml:space="preserve"> </w:t>
      </w:r>
      <w:r>
        <w:rPr>
          <w:b/>
          <w:bCs/>
        </w:rPr>
        <w:t xml:space="preserve">60% of exabytes shipped</w:t>
      </w:r>
      <w:r>
        <w:t xml:space="preserve"> </w:t>
      </w:r>
      <w:r>
        <w:t xml:space="preserve">to use UltraSMR by the end of fiscal 2027.</w:t>
      </w:r>
    </w:p>
    <w:p>
      <w:pPr>
        <w:pStyle w:val="BodyText"/>
      </w:pPr>
      <w:r>
        <w:t xml:space="preserve">This is an important margin lever because it improves both customer economics and WDC’s cost per terabyte. Updates on additional qualifications—particularly among Tier 2 cloud providers and enterprise customers—would support the case for durable margin expansion.</w:t>
      </w:r>
    </w:p>
    <w:bookmarkEnd w:id="21"/>
    <w:bookmarkStart w:id="22" w:name="X1b1222c517c1eb4628f244ad9ca0c05076f3dab"/>
    <w:p>
      <w:pPr>
        <w:pStyle w:val="Heading2"/>
      </w:pPr>
      <w:r>
        <w:t xml:space="preserve">6. HAMR progress</w:t>
      </w:r>
    </w:p>
    <w:p>
      <w:pPr>
        <w:pStyle w:val="FirstParagraph"/>
      </w:pPr>
      <w:r>
        <w:t xml:space="preserve">WDC’s 40TB–44TB HAMR products were in qualification with four customers at the end of Q3, slightly ahead of schedule. The company expects volume ramping in 2027 and has laid out a path toward 100TB drives by 2029.</w:t>
      </w:r>
    </w:p>
    <w:p>
      <w:pPr>
        <w:pStyle w:val="BodyText"/>
      </w:pPr>
      <w:r>
        <w:t xml:space="preserve">For this quarter, investors do not need major HAMR revenue. They do need evidence that the program remains on track:</w:t>
      </w:r>
    </w:p>
    <w:p>
      <w:pPr>
        <w:pStyle w:val="Compact"/>
        <w:numPr>
          <w:ilvl w:val="0"/>
          <w:numId w:val="1010"/>
        </w:numPr>
      </w:pPr>
      <w:r>
        <w:t xml:space="preserve">Number of customers in qualification.</w:t>
      </w:r>
    </w:p>
    <w:p>
      <w:pPr>
        <w:pStyle w:val="Compact"/>
        <w:numPr>
          <w:ilvl w:val="0"/>
          <w:numId w:val="1010"/>
        </w:numPr>
      </w:pPr>
      <w:r>
        <w:t xml:space="preserve">Reliability and yield progress.</w:t>
      </w:r>
    </w:p>
    <w:p>
      <w:pPr>
        <w:pStyle w:val="Compact"/>
        <w:numPr>
          <w:ilvl w:val="0"/>
          <w:numId w:val="1010"/>
        </w:numPr>
      </w:pPr>
      <w:r>
        <w:t xml:space="preserve">Timing of the first commercial ramp.</w:t>
      </w:r>
    </w:p>
    <w:p>
      <w:pPr>
        <w:pStyle w:val="Compact"/>
        <w:numPr>
          <w:ilvl w:val="0"/>
          <w:numId w:val="1010"/>
        </w:numPr>
      </w:pPr>
      <w:r>
        <w:t xml:space="preserve">Whether WDC still expects HAMR to be margin-neutral or accretive.</w:t>
      </w:r>
    </w:p>
    <w:p>
      <w:pPr>
        <w:pStyle w:val="Compact"/>
        <w:numPr>
          <w:ilvl w:val="0"/>
          <w:numId w:val="1010"/>
        </w:numPr>
      </w:pPr>
      <w:r>
        <w:t xml:space="preserve">How customers are balancing extended ePMR adoption against HAMR transitions.</w:t>
      </w:r>
    </w:p>
    <w:p>
      <w:pPr>
        <w:pStyle w:val="FirstParagraph"/>
      </w:pPr>
      <w:r>
        <w:t xml:space="preserve">WDC’s dual-track strategy lowers transition risk: customers can continue adopting higher-capacity ePMR while qualifying HAMR at their own pace. The trade-off is that an extended ePMR runway could delay HAMR adoption.</w:t>
      </w:r>
    </w:p>
    <w:p>
      <w:r>
        <w:pict>
          <v:rect style="width:0;height:1.5pt" o:hralign="center" o:hrstd="t" o:hr="t"/>
        </w:pict>
      </w:r>
    </w:p>
    <w:bookmarkEnd w:id="22"/>
    <w:bookmarkStart w:id="23" w:name="X238c9428c412ff765c02972bd5c0ebc65a51dea"/>
    <w:p>
      <w:pPr>
        <w:pStyle w:val="Heading2"/>
      </w:pPr>
      <w:r>
        <w:t xml:space="preserve">Cash flow, balance sheet and capital returns</w:t>
      </w:r>
    </w:p>
    <w:p>
      <w:pPr>
        <w:pStyle w:val="FirstParagraph"/>
      </w:pPr>
      <w:r>
        <w:t xml:space="preserve">WDC generated</w:t>
      </w:r>
      <w:r>
        <w:t xml:space="preserve"> </w:t>
      </w:r>
      <w:r>
        <w:rPr>
          <w:b/>
          <w:bCs/>
        </w:rPr>
        <w:t xml:space="preserve">$978 million of free cash flow in Q3</w:t>
      </w:r>
      <w:r>
        <w:t xml:space="preserve">, equivalent to a 29% margin and close to its long-term target of more than 30%.</w:t>
      </w:r>
    </w:p>
    <w:p>
      <w:pPr>
        <w:pStyle w:val="BodyText"/>
      </w:pPr>
      <w:r>
        <w:t xml:space="preserve">The company ended Q3 with:</w:t>
      </w:r>
    </w:p>
    <w:p>
      <w:pPr>
        <w:pStyle w:val="Compact"/>
        <w:numPr>
          <w:ilvl w:val="0"/>
          <w:numId w:val="1011"/>
        </w:numPr>
      </w:pPr>
      <w:r>
        <w:t xml:space="preserve">Approximately</w:t>
      </w:r>
      <w:r>
        <w:t xml:space="preserve"> </w:t>
      </w:r>
      <w:r>
        <w:rPr>
          <w:b/>
          <w:bCs/>
        </w:rPr>
        <w:t xml:space="preserve">$2.05 billion of cash</w:t>
      </w:r>
      <w:r>
        <w:t xml:space="preserve">.</w:t>
      </w:r>
    </w:p>
    <w:p>
      <w:pPr>
        <w:pStyle w:val="Compact"/>
        <w:numPr>
          <w:ilvl w:val="0"/>
          <w:numId w:val="1011"/>
        </w:numPr>
      </w:pPr>
      <w:r>
        <w:t xml:space="preserve">Roughly</w:t>
      </w:r>
      <w:r>
        <w:t xml:space="preserve"> </w:t>
      </w:r>
      <w:r>
        <w:rPr>
          <w:b/>
          <w:bCs/>
        </w:rPr>
        <w:t xml:space="preserve">$1.6 billion of remaining convertible debt</w:t>
      </w:r>
      <w:r>
        <w:t xml:space="preserve">.</w:t>
      </w:r>
    </w:p>
    <w:p>
      <w:pPr>
        <w:pStyle w:val="Compact"/>
        <w:numPr>
          <w:ilvl w:val="0"/>
          <w:numId w:val="1011"/>
        </w:numPr>
      </w:pPr>
      <w:r>
        <w:t xml:space="preserve">A modest net-cash position.</w:t>
      </w:r>
    </w:p>
    <w:p>
      <w:pPr>
        <w:pStyle w:val="Compact"/>
        <w:numPr>
          <w:ilvl w:val="0"/>
          <w:numId w:val="1011"/>
        </w:numPr>
      </w:pPr>
      <w:r>
        <w:t xml:space="preserve">1.7 million remaining Sandisk shares at quarter-end.</w:t>
      </w:r>
    </w:p>
    <w:p>
      <w:pPr>
        <w:pStyle w:val="FirstParagraph"/>
      </w:pPr>
      <w:r>
        <w:t xml:space="preserve">In June, WDC agreed to exchange approximately</w:t>
      </w:r>
      <w:r>
        <w:t xml:space="preserve"> </w:t>
      </w:r>
      <w:r>
        <w:rPr>
          <w:b/>
          <w:bCs/>
        </w:rPr>
        <w:t xml:space="preserve">1.04 million Sandisk shares</w:t>
      </w:r>
      <w:r>
        <w:t xml:space="preserve"> </w:t>
      </w:r>
      <w:r>
        <w:t xml:space="preserve">for WDC shares held by institutional investors. Investors should look for confirmation of the transaction’s completion, the resulting reduction in WDC’s share count and plans for any remaining Sandisk position.</w:t>
      </w:r>
    </w:p>
    <w:p>
      <w:pPr>
        <w:pStyle w:val="BodyText"/>
      </w:pPr>
      <w:r>
        <w:t xml:space="preserve">Management’s stated policy is to return excess free cash flow through dividends and repurchases after funding the business. Q3 included:</w:t>
      </w:r>
    </w:p>
    <w:p>
      <w:pPr>
        <w:pStyle w:val="Compact"/>
        <w:numPr>
          <w:ilvl w:val="0"/>
          <w:numId w:val="1012"/>
        </w:numPr>
      </w:pPr>
      <w:r>
        <w:rPr>
          <w:b/>
          <w:bCs/>
        </w:rPr>
        <w:t xml:space="preserve">$752 million of share repurchases</w:t>
      </w:r>
      <w:r>
        <w:t xml:space="preserve">.</w:t>
      </w:r>
    </w:p>
    <w:p>
      <w:pPr>
        <w:pStyle w:val="Compact"/>
        <w:numPr>
          <w:ilvl w:val="0"/>
          <w:numId w:val="1012"/>
        </w:numPr>
      </w:pPr>
      <w:r>
        <w:t xml:space="preserve">A 20% dividend increase to</w:t>
      </w:r>
      <w:r>
        <w:t xml:space="preserve"> </w:t>
      </w:r>
      <w:r>
        <w:rPr>
          <w:b/>
          <w:bCs/>
        </w:rPr>
        <w:t xml:space="preserve">$0.15 per quarter</w:t>
      </w:r>
      <w:r>
        <w:t xml:space="preserve">.</w:t>
      </w:r>
    </w:p>
    <w:p>
      <w:pPr>
        <w:pStyle w:val="Compact"/>
        <w:numPr>
          <w:ilvl w:val="0"/>
          <w:numId w:val="1012"/>
        </w:numPr>
      </w:pPr>
      <w:r>
        <w:t xml:space="preserve">Approximately</w:t>
      </w:r>
      <w:r>
        <w:t xml:space="preserve"> </w:t>
      </w:r>
      <w:r>
        <w:rPr>
          <w:b/>
          <w:bCs/>
        </w:rPr>
        <w:t xml:space="preserve">$2.2 billion</w:t>
      </w:r>
      <w:r>
        <w:t xml:space="preserve"> </w:t>
      </w:r>
      <w:r>
        <w:t xml:space="preserve">returned to shareholders since the capital-return program began.</w:t>
      </w:r>
    </w:p>
    <w:p>
      <w:pPr>
        <w:pStyle w:val="FirstParagraph"/>
      </w:pPr>
      <w:r>
        <w:t xml:space="preserve">With debt largely addressed, capital allocation should become a larger component of EPS growth. Watch for the remaining repurchase authorization, Q4 buyback activity and management’s intended fiscal 2027 pace.</w:t>
      </w:r>
    </w:p>
    <w:p>
      <w:r>
        <w:pict>
          <v:rect style="width:0;height:1.5pt" o:hralign="center" o:hrstd="t" o:hr="t"/>
        </w:pict>
      </w:r>
    </w:p>
    <w:bookmarkEnd w:id="23"/>
    <w:bookmarkStart w:id="24" w:name="X73414bfe84f76e40f40e2510158c7054d042920"/>
    <w:p>
      <w:pPr>
        <w:pStyle w:val="Heading2"/>
      </w:pPr>
      <w:r>
        <w:t xml:space="preserve">Fiscal 2027 guidance matters more than the Q4 beat</w:t>
      </w:r>
    </w:p>
    <w:p>
      <w:pPr>
        <w:pStyle w:val="FirstParagraph"/>
      </w:pPr>
      <w:r>
        <w:t xml:space="preserve">WDC’s fiscal Q4 numbers are important, but the stock reaction will probably be driven primarily by fiscal 2027 expectations.</w:t>
      </w:r>
    </w:p>
    <w:p>
      <w:pPr>
        <w:pStyle w:val="BodyText"/>
      </w:pPr>
      <w:r>
        <w:t xml:space="preserve">The most constructive outlook would combine:</w:t>
      </w:r>
    </w:p>
    <w:p>
      <w:pPr>
        <w:pStyle w:val="Compact"/>
        <w:numPr>
          <w:ilvl w:val="0"/>
          <w:numId w:val="1013"/>
        </w:numPr>
      </w:pPr>
      <w:r>
        <w:t xml:space="preserve">Exabyte growth near or above the company’s mid-20% long-term framework.</w:t>
      </w:r>
    </w:p>
    <w:p>
      <w:pPr>
        <w:pStyle w:val="Compact"/>
        <w:numPr>
          <w:ilvl w:val="0"/>
          <w:numId w:val="1013"/>
        </w:numPr>
      </w:pPr>
      <w:r>
        <w:t xml:space="preserve">Stable-to-positive pricing per terabyte.</w:t>
      </w:r>
    </w:p>
    <w:p>
      <w:pPr>
        <w:pStyle w:val="Compact"/>
        <w:numPr>
          <w:ilvl w:val="0"/>
          <w:numId w:val="1013"/>
        </w:numPr>
      </w:pPr>
      <w:r>
        <w:t xml:space="preserve">Gross margin remaining above 50%.</w:t>
      </w:r>
    </w:p>
    <w:p>
      <w:pPr>
        <w:pStyle w:val="Compact"/>
        <w:numPr>
          <w:ilvl w:val="0"/>
          <w:numId w:val="1013"/>
        </w:numPr>
      </w:pPr>
      <w:r>
        <w:t xml:space="preserve">Operating margin around or above 40%.</w:t>
      </w:r>
    </w:p>
    <w:p>
      <w:pPr>
        <w:pStyle w:val="Compact"/>
        <w:numPr>
          <w:ilvl w:val="0"/>
          <w:numId w:val="1013"/>
        </w:numPr>
      </w:pPr>
      <w:r>
        <w:t xml:space="preserve">Continued free-cash-flow-margin expansion.</w:t>
      </w:r>
    </w:p>
    <w:p>
      <w:pPr>
        <w:pStyle w:val="Compact"/>
        <w:numPr>
          <w:ilvl w:val="0"/>
          <w:numId w:val="1013"/>
        </w:numPr>
      </w:pPr>
      <w:r>
        <w:t xml:space="preserve">A timely 40TB ePMR ramp.</w:t>
      </w:r>
    </w:p>
    <w:p>
      <w:pPr>
        <w:pStyle w:val="Compact"/>
        <w:numPr>
          <w:ilvl w:val="0"/>
          <w:numId w:val="1013"/>
        </w:numPr>
      </w:pPr>
      <w:r>
        <w:t xml:space="preserve">Additional UltraSMR and HAMR qualifications.</w:t>
      </w:r>
    </w:p>
    <w:p>
      <w:pPr>
        <w:pStyle w:val="Compact"/>
        <w:numPr>
          <w:ilvl w:val="0"/>
          <w:numId w:val="1013"/>
        </w:numPr>
      </w:pPr>
      <w:r>
        <w:t xml:space="preserve">Aggressive but disciplined share repurchases.</w:t>
      </w:r>
    </w:p>
    <w:p>
      <w:pPr>
        <w:pStyle w:val="FirstParagraph"/>
      </w:pPr>
      <w:r>
        <w:t xml:space="preserve">Investors should also pay attention to the cadence. A strong full-year framework with a temporarily softer September quarter might be accepted if caused by product-transition timing. Conversely, strong near-term guidance paired with comments about pricing normalization later in the year could be viewed less favorably.</w:t>
      </w:r>
    </w:p>
    <w:p>
      <w:r>
        <w:pict>
          <v:rect style="width:0;height:1.5pt" o:hralign="center" o:hrstd="t" o:hr="t"/>
        </w:pict>
      </w:r>
    </w:p>
    <w:bookmarkEnd w:id="24"/>
    <w:bookmarkStart w:id="28" w:name="what-could-move-the-stock"/>
    <w:p>
      <w:pPr>
        <w:pStyle w:val="Heading2"/>
      </w:pPr>
      <w:r>
        <w:t xml:space="preserve">What could move the stock?</w:t>
      </w:r>
    </w:p>
    <w:bookmarkStart w:id="25" w:name="clearly-positive"/>
    <w:p>
      <w:pPr>
        <w:pStyle w:val="Heading3"/>
      </w:pPr>
      <w:r>
        <w:t xml:space="preserve">Clearly positive</w:t>
      </w:r>
    </w:p>
    <w:p>
      <w:pPr>
        <w:pStyle w:val="Compact"/>
        <w:numPr>
          <w:ilvl w:val="0"/>
          <w:numId w:val="1014"/>
        </w:numPr>
      </w:pPr>
      <w:r>
        <w:t xml:space="preserve">Revenue above the $3.75 billion guidance ceiling.</w:t>
      </w:r>
    </w:p>
    <w:p>
      <w:pPr>
        <w:pStyle w:val="Compact"/>
        <w:numPr>
          <w:ilvl w:val="0"/>
          <w:numId w:val="1014"/>
        </w:numPr>
      </w:pPr>
      <w:r>
        <w:t xml:space="preserve">Non-GAAP gross margin above 52%.</w:t>
      </w:r>
    </w:p>
    <w:p>
      <w:pPr>
        <w:pStyle w:val="Compact"/>
        <w:numPr>
          <w:ilvl w:val="0"/>
          <w:numId w:val="1014"/>
        </w:numPr>
      </w:pPr>
      <w:r>
        <w:t xml:space="preserve">EPS above the $3.40 guidance ceiling.</w:t>
      </w:r>
    </w:p>
    <w:p>
      <w:pPr>
        <w:pStyle w:val="Compact"/>
        <w:numPr>
          <w:ilvl w:val="0"/>
          <w:numId w:val="1014"/>
        </w:numPr>
      </w:pPr>
      <w:r>
        <w:t xml:space="preserve">Fiscal 2027 guidance sustaining greater-than-50% gross margin and strong exabyte growth.</w:t>
      </w:r>
    </w:p>
    <w:p>
      <w:pPr>
        <w:pStyle w:val="Compact"/>
        <w:numPr>
          <w:ilvl w:val="0"/>
          <w:numId w:val="1014"/>
        </w:numPr>
      </w:pPr>
      <w:r>
        <w:t xml:space="preserve">Better-than-expected 40TB ePMR or HAMR progress.</w:t>
      </w:r>
    </w:p>
    <w:p>
      <w:pPr>
        <w:pStyle w:val="Compact"/>
        <w:numPr>
          <w:ilvl w:val="0"/>
          <w:numId w:val="1014"/>
        </w:numPr>
      </w:pPr>
      <w:r>
        <w:t xml:space="preserve">Another substantial reduction in share count.</w:t>
      </w:r>
    </w:p>
    <w:bookmarkEnd w:id="25"/>
    <w:bookmarkStart w:id="26" w:name="mixed"/>
    <w:p>
      <w:pPr>
        <w:pStyle w:val="Heading3"/>
      </w:pPr>
      <w:r>
        <w:t xml:space="preserve">Mixed</w:t>
      </w:r>
    </w:p>
    <w:p>
      <w:pPr>
        <w:pStyle w:val="Compact"/>
        <w:numPr>
          <w:ilvl w:val="0"/>
          <w:numId w:val="1015"/>
        </w:numPr>
      </w:pPr>
      <w:r>
        <w:t xml:space="preserve">Revenue and EPS beat, but primarily because of better pricing rather than exabyte growth.</w:t>
      </w:r>
    </w:p>
    <w:p>
      <w:pPr>
        <w:pStyle w:val="Compact"/>
        <w:numPr>
          <w:ilvl w:val="0"/>
          <w:numId w:val="1015"/>
        </w:numPr>
      </w:pPr>
      <w:r>
        <w:t xml:space="preserve">Gross margin meets guidance but does not expand further.</w:t>
      </w:r>
    </w:p>
    <w:p>
      <w:pPr>
        <w:pStyle w:val="Compact"/>
        <w:numPr>
          <w:ilvl w:val="0"/>
          <w:numId w:val="1015"/>
        </w:numPr>
      </w:pPr>
      <w:r>
        <w:t xml:space="preserve">Conservative initial fiscal 2027 guidance attributed to product-ramp timing.</w:t>
      </w:r>
    </w:p>
    <w:p>
      <w:pPr>
        <w:pStyle w:val="Compact"/>
        <w:numPr>
          <w:ilvl w:val="0"/>
          <w:numId w:val="1015"/>
        </w:numPr>
      </w:pPr>
      <w:r>
        <w:t xml:space="preserve">Strong demand but higher R&amp;D or qualification spending.</w:t>
      </w:r>
    </w:p>
    <w:bookmarkEnd w:id="26"/>
    <w:bookmarkStart w:id="27" w:name="negative"/>
    <w:p>
      <w:pPr>
        <w:pStyle w:val="Heading3"/>
      </w:pPr>
      <w:r>
        <w:t xml:space="preserve">Negative</w:t>
      </w:r>
    </w:p>
    <w:p>
      <w:pPr>
        <w:pStyle w:val="Compact"/>
        <w:numPr>
          <w:ilvl w:val="0"/>
          <w:numId w:val="1016"/>
        </w:numPr>
      </w:pPr>
      <w:r>
        <w:t xml:space="preserve">Gross margin below 51%.</w:t>
      </w:r>
    </w:p>
    <w:p>
      <w:pPr>
        <w:pStyle w:val="Compact"/>
        <w:numPr>
          <w:ilvl w:val="0"/>
          <w:numId w:val="1016"/>
        </w:numPr>
      </w:pPr>
      <w:r>
        <w:t xml:space="preserve">Slowing per-terabyte pricing or weaker cloud orders.</w:t>
      </w:r>
    </w:p>
    <w:p>
      <w:pPr>
        <w:pStyle w:val="Compact"/>
        <w:numPr>
          <w:ilvl w:val="0"/>
          <w:numId w:val="1016"/>
        </w:numPr>
      </w:pPr>
      <w:r>
        <w:t xml:space="preserve">Fiscal 2027 exabyte growth below the mid-20% framework.</w:t>
      </w:r>
    </w:p>
    <w:p>
      <w:pPr>
        <w:pStyle w:val="Compact"/>
        <w:numPr>
          <w:ilvl w:val="0"/>
          <w:numId w:val="1016"/>
        </w:numPr>
      </w:pPr>
      <w:r>
        <w:t xml:space="preserve">Delays in 40TB ePMR production or HAMR qualifications.</w:t>
      </w:r>
    </w:p>
    <w:p>
      <w:pPr>
        <w:pStyle w:val="Compact"/>
        <w:numPr>
          <w:ilvl w:val="0"/>
          <w:numId w:val="1016"/>
        </w:numPr>
      </w:pPr>
      <w:r>
        <w:t xml:space="preserve">Evidence that customers are resisting pricing despite better drive economics.</w:t>
      </w:r>
    </w:p>
    <w:p>
      <w:pPr>
        <w:pStyle w:val="Compact"/>
        <w:numPr>
          <w:ilvl w:val="0"/>
          <w:numId w:val="1016"/>
        </w:numPr>
      </w:pPr>
      <w:r>
        <w:t xml:space="preserve">Higher capital intensity or a change in the commitment to return excess cash.</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WDC’s operating setup remains favorable: hyperscale storage demand is strong, supply is disciplined, pricing has improved, product mix is shifting upward and free cash flow is being returned to shareholders.</w:t>
      </w:r>
    </w:p>
    <w:p>
      <w:pPr>
        <w:pStyle w:val="BodyText"/>
      </w:pPr>
      <w:r>
        <w:t xml:space="preserve">But much of that strength is now recognized. The company is already approaching or exceeding elements of the long-term financial model, and the stock has nearly tripled in 2026. Therefore, the key question is not whether fiscal Q4 was strong—it almost certainly was—but whether management can demonstrate that</w:t>
      </w:r>
      <w:r>
        <w:t xml:space="preserve"> </w:t>
      </w:r>
      <w:r>
        <w:rPr>
          <w:b/>
          <w:bCs/>
        </w:rPr>
        <w:t xml:space="preserve">50%-plus gross margin, roughly 40%-plus operating margin and rapid free-cash-flow growth are sustainable through fiscal 2027 and beyond</w:t>
      </w:r>
      <w:r>
        <w:t xml:space="preserve">.</w:t>
      </w:r>
    </w:p>
    <w:p>
      <w:pPr>
        <w:pStyle w:val="BodyText"/>
      </w:pPr>
      <w:r>
        <w:t xml:space="preserve">The highest-quality result would be a combination of:</w:t>
      </w:r>
    </w:p>
    <w:p>
      <w:pPr>
        <w:pStyle w:val="Compact"/>
        <w:numPr>
          <w:ilvl w:val="0"/>
          <w:numId w:val="1017"/>
        </w:numPr>
      </w:pPr>
      <w:r>
        <w:t xml:space="preserve">An above-guidance Q4.</w:t>
      </w:r>
    </w:p>
    <w:p>
      <w:pPr>
        <w:pStyle w:val="Compact"/>
        <w:numPr>
          <w:ilvl w:val="0"/>
          <w:numId w:val="1017"/>
        </w:numPr>
      </w:pPr>
      <w:r>
        <w:t xml:space="preserve">Further gross-margin expansion.</w:t>
      </w:r>
    </w:p>
    <w:p>
      <w:pPr>
        <w:pStyle w:val="Compact"/>
        <w:numPr>
          <w:ilvl w:val="0"/>
          <w:numId w:val="1017"/>
        </w:numPr>
      </w:pPr>
      <w:r>
        <w:t xml:space="preserve">Strong fiscal 2027 exabyte and pricing visibility.</w:t>
      </w:r>
    </w:p>
    <w:p>
      <w:pPr>
        <w:pStyle w:val="Compact"/>
        <w:numPr>
          <w:ilvl w:val="0"/>
          <w:numId w:val="1017"/>
        </w:numPr>
      </w:pPr>
      <w:r>
        <w:t xml:space="preserve">On-time 40TB ePMR execution.</w:t>
      </w:r>
    </w:p>
    <w:p>
      <w:pPr>
        <w:pStyle w:val="Compact"/>
        <w:numPr>
          <w:ilvl w:val="0"/>
          <w:numId w:val="1017"/>
        </w:numPr>
      </w:pPr>
      <w:r>
        <w:t xml:space="preserve">Continued share-count reduction.</w:t>
      </w:r>
    </w:p>
    <w:p>
      <w:pPr>
        <w:pStyle w:val="FirstParagraph"/>
      </w:pPr>
      <w:r>
        <w:t xml:space="preserve">Absent that combination, even respectable results could produce a volatile reaction given the elevated expectations embedded in WDC’s valuation.</w:t>
      </w:r>
    </w:p>
    <w:p>
      <w:r>
        <w:pict>
          <v:rect style="width:0;height:1.5pt" o:hralign="center" o:hrstd="t" o:hr="t"/>
        </w:pict>
      </w:r>
    </w:p>
    <w:p>
      <w:pPr>
        <w:pStyle w:val="FirstParagraph"/>
      </w:pPr>
      <w:r>
        <w:rPr>
          <w:i/>
          <w:iCs/>
        </w:rPr>
        <w:t xml:space="preserve">Research basis: WDC fiscal Q3 2026 earnings release and conference-call transcript dated April 30, 2026; February 3, 2026 Innovation Day transcript; June 11, 2026 Form 8-K; July 2026 earnings-announcement press release; aggregated market news and stock-price data through August 4,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2026-08-05T00:47:22Z</dcterms:created>
  <dcterms:modified xsi:type="dcterms:W3CDTF">2026-08-05T00:47:22Z</dcterms:modified>
</cp:coreProperties>
</file>

<file path=docProps/custom.xml><?xml version="1.0" encoding="utf-8"?>
<Properties xmlns="http://schemas.openxmlformats.org/officeDocument/2006/custom-properties" xmlns:vt="http://schemas.openxmlformats.org/officeDocument/2006/docPropsVTypes"/>
</file>