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wdc-earnings-predictions--2026-08-05"/>
    <w:p>
      <w:pPr>
        <w:pStyle w:val="Heading1"/>
      </w:pPr>
      <w:r>
        <w:t xml:space="preserve">WDC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WDC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~$3.77B vs. cons $3.69B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WDC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gross margin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~52.5% vs. cons 51.7%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WDC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~$3.48 vs. cons $3.31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WDC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FY2027 Q1 revenue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~$3.95B vs. cons $3.98B (FY2027 Q1)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WDC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FY2027 Q1 non-GAAP gross-margin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~53.0% vs. cons 52.8% (FY2027 Q1)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WDC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FY2027 Q1 non-GAAP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~$3.73 vs. cons $3.73 (FY2027 Q1)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WDC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WDC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+6.5% (FOLLOW-THROUGH)</w:t>
            </w:r>
          </w:p>
        </w:tc>
        <w:tc>
          <w:tcPr/>
          <w:p>
            <w:pPr>
              <w:pStyle w:val="Compact"/>
            </w:pPr>
            <w:r>
              <w:t xml:space="preserve">Day-1 residual ~4.5% vs. S&amp;P 500 beta-adjusted 0.0%; day-5 residual ~6.5% vs. S&amp;P 500 beta-adjusted 0.0%. A revenue/EPS beat plus gross-margin expansion should support upward FY2027 margin and EPS revisions despite a slightly conservative Q1 revenue outlook, because the pricing, mix, and 40TB ePMR ramp commentary reinforces out-period earnings power.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2026-08-05T00:46:27Z</dcterms:created>
  <dcterms:modified xsi:type="dcterms:W3CDTF">2026-08-05T00:46:27Z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