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a4208a4bb7073e28b932b6f15e1bd8822c994a"/>
    <w:p>
      <w:pPr>
        <w:pStyle w:val="Heading1"/>
      </w:pPr>
      <w:r>
        <w:t xml:space="preserve">Western Digital (NASDAQ: WDC) — FY2026 Q4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Western Digital is scheduled to report</w:t>
      </w:r>
      <w:r>
        <w:t xml:space="preserve"> </w:t>
      </w:r>
      <w:r>
        <w:rPr>
          <w:b/>
          <w:bCs/>
        </w:rPr>
        <w:t xml:space="preserve">after the market close today, Wednesday, August 5, 2026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4:30 p.m. ET / 1:30 p.m. PT</w:t>
      </w:r>
      <w:r>
        <w:t xml:space="preserve">—not tomorrow.</w:t>
      </w:r>
    </w:p>
    <w:bookmarkStart w:id="9" w:name="X338cb42ca921c32332df5525cc68e79c995e313"/>
    <w:p>
      <w:pPr>
        <w:pStyle w:val="Heading2"/>
      </w:pPr>
      <w:r>
        <w:t xml:space="preserve">Investment view: the setup is strong, but the bar is high</w:t>
      </w:r>
    </w:p>
    <w:p>
      <w:pPr>
        <w:pStyle w:val="FirstParagraph"/>
      </w:pPr>
      <w:r>
        <w:t xml:space="preserve">WDC enters its fiscal Q4 report as a focused HDD supplier benefiting from a powerful nearline-storage cycle: hyperscaler demand, constrained industry supply, favorable pricing, and a mix shift toward higher-capacity drives. The company’s April outlook and subsequent market expectations point to another strong quarter.</w:t>
      </w:r>
    </w:p>
    <w:p>
      <w:pPr>
        <w:pStyle w:val="BodyText"/>
      </w:pPr>
      <w:r>
        <w:t xml:space="preserve">The central issue is</w:t>
      </w:r>
      <w:r>
        <w:t xml:space="preserve"> </w:t>
      </w:r>
      <w:r>
        <w:rPr>
          <w:b/>
          <w:bCs/>
        </w:rPr>
        <w:t xml:space="preserve">not whether WDC grows</w:t>
      </w:r>
      <w:r>
        <w:t xml:space="preserve">. It is whether the company can provide enough evidence that its current combination of high-single-digit pricing gains, rising capacity per drive, and &gt;50% gross margin is durable into fiscal 2027.</w:t>
      </w:r>
    </w:p>
    <w:p>
      <w:pPr>
        <w:pStyle w:val="BodyText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$548.60 on August 4</w:t>
      </w:r>
      <w:r>
        <w:t xml:space="preserve">. It is up roughly</w:t>
      </w:r>
      <w:r>
        <w:t xml:space="preserve"> </w:t>
      </w:r>
      <w:r>
        <w:rPr>
          <w:b/>
          <w:bCs/>
        </w:rPr>
        <w:t xml:space="preserve">26% since the prior earnings date</w:t>
      </w:r>
      <w:r>
        <w:t xml:space="preserve">, but remains about</w:t>
      </w:r>
      <w:r>
        <w:t xml:space="preserve"> </w:t>
      </w:r>
      <w:r>
        <w:rPr>
          <w:b/>
          <w:bCs/>
        </w:rPr>
        <w:t xml:space="preserve">26% below its June 18 closing peak of $746.23</w:t>
      </w:r>
      <w:r>
        <w:t xml:space="preserve">—a setup that suggests investors recognize the favorable fundamentals but are also wary of valuation, cyclicality, and the risk that an already-bullish outlook cannot keep moving higher.</w:t>
      </w:r>
    </w:p>
    <w:bookmarkEnd w:id="9"/>
    <w:bookmarkStart w:id="10" w:name="what-the-street-expects"/>
    <w:p>
      <w:pPr>
        <w:pStyle w:val="Heading2"/>
      </w:pPr>
      <w:r>
        <w:t xml:space="preserve">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WDC Q4 FY2026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Reported Street expectation*</w:t>
            </w:r>
          </w:p>
        </w:tc>
        <w:tc>
          <w:tcPr/>
          <w:p>
            <w:pPr>
              <w:pStyle w:val="Compact"/>
            </w:pPr>
            <w:r>
              <w:t xml:space="preserve">Investor read-through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$3.65B ± $100M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$3.69B</w:t>
            </w:r>
          </w:p>
        </w:tc>
        <w:tc>
          <w:tcPr/>
          <w:p>
            <w:pPr>
              <w:pStyle w:val="Compact"/>
            </w:pPr>
            <w:r>
              <w:t xml:space="preserve">Consensus is modestly above the midpoint but remains within WDC’s guided range.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51%–52%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This may be the most important operating metric.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$3.25 ± $0.15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$3.31</w:t>
            </w:r>
          </w:p>
        </w:tc>
        <w:tc>
          <w:tcPr/>
          <w:p>
            <w:pPr>
              <w:pStyle w:val="Compact"/>
            </w:pPr>
            <w:r>
              <w:t xml:space="preserve">A small beat alone may not be enough if fiscal Q1 guidance is merely in line.</w:t>
            </w:r>
          </w:p>
        </w:tc>
      </w:tr>
    </w:tbl>
    <w:p>
      <w:pPr>
        <w:pStyle w:val="BodyText"/>
      </w:pPr>
      <w:r>
        <w:t xml:space="preserve">*Market-news consensus figures dated July 31, 2026.</w:t>
      </w:r>
    </w:p>
    <w:p>
      <w:pPr>
        <w:pStyle w:val="BodyText"/>
      </w:pPr>
      <w:r>
        <w:t xml:space="preserve">The key takeaway:</w:t>
      </w:r>
      <w:r>
        <w:t xml:space="preserve"> </w:t>
      </w:r>
      <w:r>
        <w:rPr>
          <w:b/>
          <w:bCs/>
        </w:rPr>
        <w:t xml:space="preserve">expectations are elevated but not impossible.</w:t>
      </w:r>
      <w:r>
        <w:t xml:space="preserve"> </w:t>
      </w:r>
      <w:r>
        <w:t xml:space="preserve">Consensus implies revenue just $40 million above the midpoint and EPS $0.06 above the midpoint. The more consequential test will be whether WDC’s</w:t>
      </w:r>
      <w:r>
        <w:t xml:space="preserve"> </w:t>
      </w:r>
      <w:r>
        <w:rPr>
          <w:b/>
          <w:bCs/>
        </w:rPr>
        <w:t xml:space="preserve">fiscal Q1 FY2027</w:t>
      </w:r>
      <w:r>
        <w:t xml:space="preserve"> </w:t>
      </w:r>
      <w:r>
        <w:t xml:space="preserve">outlook signals further pricing/margin expansion rather than a normal seasonal pause.</w:t>
      </w:r>
    </w:p>
    <w:bookmarkEnd w:id="10"/>
    <w:bookmarkStart w:id="14" w:name="why-the-quarter-should-be-strong"/>
    <w:p>
      <w:pPr>
        <w:pStyle w:val="Heading2"/>
      </w:pPr>
      <w:r>
        <w:t xml:space="preserve">Why the quarter should be strong</w:t>
      </w:r>
    </w:p>
    <w:bookmarkStart w:id="11" w:name="X5784f3fd344b50588f3a80c8b96fc3cad4a91a8"/>
    <w:p>
      <w:pPr>
        <w:pStyle w:val="Heading3"/>
      </w:pPr>
      <w:r>
        <w:t xml:space="preserve">1. Cloud nearline HDD demand remains the engine</w:t>
      </w:r>
    </w:p>
    <w:p>
      <w:pPr>
        <w:pStyle w:val="FirstParagraph"/>
      </w:pPr>
      <w:r>
        <w:t xml:space="preserve">In fiscal Q3, cloud revenue was</w:t>
      </w:r>
      <w:r>
        <w:t xml:space="preserve"> </w:t>
      </w:r>
      <w:r>
        <w:rPr>
          <w:b/>
          <w:bCs/>
        </w:rPr>
        <w:t xml:space="preserve">$3.0 billion</w:t>
      </w:r>
      <w:r>
        <w:t xml:space="preserve">, or</w:t>
      </w:r>
      <w:r>
        <w:t xml:space="preserve"> </w:t>
      </w:r>
      <w:r>
        <w:rPr>
          <w:b/>
          <w:bCs/>
        </w:rPr>
        <w:t xml:space="preserve">89% of total revenue</w:t>
      </w:r>
      <w:r>
        <w:t xml:space="preserve">, and grew 48% year over year. WDC shipped</w:t>
      </w:r>
      <w:r>
        <w:t xml:space="preserve"> </w:t>
      </w:r>
      <w:r>
        <w:rPr>
          <w:b/>
          <w:bCs/>
        </w:rPr>
        <w:t xml:space="preserve">222 exabytes</w:t>
      </w:r>
      <w:r>
        <w:t xml:space="preserve">, up 34% year over year, with demand concentrated in high-capacity nearline drives for hyperscalers and cloud service providers.</w:t>
      </w:r>
    </w:p>
    <w:p>
      <w:pPr>
        <w:pStyle w:val="BodyText"/>
      </w:pPr>
      <w:r>
        <w:t xml:space="preserve">Management’s structural demand argument is that AI creates persistent data: training, inference, agentic workflows, synthetic data, and physical-AI applications all generate datasets that must be retained economically. Whether or not investors accept every element of that long-term thesis, customer demand and purchase commitments are presently the relevant facts.</w:t>
      </w:r>
    </w:p>
    <w:p>
      <w:pPr>
        <w:pStyle w:val="BodyText"/>
      </w:pPr>
      <w:r>
        <w:t xml:space="preserve">At the Q3 call, WDC said its commercial agreements extended into</w:t>
      </w:r>
      <w:r>
        <w:t xml:space="preserve"> </w:t>
      </w:r>
      <w:r>
        <w:rPr>
          <w:b/>
          <w:bCs/>
        </w:rPr>
        <w:t xml:space="preserve">calendar 2028 and 2029</w:t>
      </w:r>
      <w:r>
        <w:t xml:space="preserve">, while purchase orders are typically placed about one year in advance. That supports near-term visibility and reduces the importance of conventional PC/storage seasonality.</w:t>
      </w:r>
    </w:p>
    <w:bookmarkEnd w:id="11"/>
    <w:bookmarkStart w:id="12" w:name="Xf8cd8e2c6745575414ed1a5f1663f060c0272c4"/>
    <w:p>
      <w:pPr>
        <w:pStyle w:val="Heading3"/>
      </w:pPr>
      <w:r>
        <w:t xml:space="preserve">2. Pricing and mix are doing the heavy lifting</w:t>
      </w:r>
    </w:p>
    <w:p>
      <w:pPr>
        <w:pStyle w:val="FirstParagraph"/>
      </w:pPr>
      <w:r>
        <w:t xml:space="preserve">WDC reported a</w:t>
      </w:r>
      <w:r>
        <w:t xml:space="preserve"> </w:t>
      </w:r>
      <w:r>
        <w:rPr>
          <w:b/>
          <w:bCs/>
        </w:rPr>
        <w:t xml:space="preserve">9% year-over-year increase in pricing per terabyte</w:t>
      </w:r>
      <w:r>
        <w:t xml:space="preserve"> </w:t>
      </w:r>
      <w:r>
        <w:t xml:space="preserve">in Q3, attributing it to the value proposition of higher-capacity products and to new/renewed long-term agreements. It also cited an approximately</w:t>
      </w:r>
      <w:r>
        <w:t xml:space="preserve"> </w:t>
      </w:r>
      <w:r>
        <w:rPr>
          <w:b/>
          <w:bCs/>
        </w:rPr>
        <w:t xml:space="preserve">10% year-over-year decline in cost per exabyte</w:t>
      </w:r>
      <w:r>
        <w:t xml:space="preserve">.</w:t>
      </w:r>
    </w:p>
    <w:p>
      <w:pPr>
        <w:pStyle w:val="BodyText"/>
      </w:pPr>
      <w:r>
        <w:t xml:space="preserve">That combination drove non-GAAP gross margin from</w:t>
      </w:r>
      <w:r>
        <w:t xml:space="preserve"> </w:t>
      </w:r>
      <w:r>
        <w:rPr>
          <w:b/>
          <w:bCs/>
        </w:rPr>
        <w:t xml:space="preserve">46.1% in Q2 to 50.5% in Q3</w:t>
      </w:r>
      <w:r>
        <w:t xml:space="preserve">, with Q4 guided to</w:t>
      </w:r>
      <w:r>
        <w:t xml:space="preserve"> </w:t>
      </w:r>
      <w:r>
        <w:rPr>
          <w:b/>
          <w:bCs/>
        </w:rPr>
        <w:t xml:space="preserve">51%–52%</w:t>
      </w:r>
      <w:r>
        <w:t xml:space="preserve">. The investor question is now whether this is a new earnings structure for HDDs—or simply the high point of a favorable cycle.</w:t>
      </w:r>
    </w:p>
    <w:p>
      <w:pPr>
        <w:pStyle w:val="BodyText"/>
      </w:pPr>
      <w:r>
        <w:t xml:space="preserve">A Q4 gross-margin result at the high end of the guided range, paired with further improvement in Q1 guidance, would reinforce the more durable interpretation. Conversely, a beat driven only by revenue while margin stalls could reopen the debate over the sustainability of pricing.</w:t>
      </w:r>
    </w:p>
    <w:bookmarkEnd w:id="12"/>
    <w:bookmarkStart w:id="13" w:name="X17ad392329ba8292e5252d6c5156b3b26ad7c4f"/>
    <w:p>
      <w:pPr>
        <w:pStyle w:val="Heading3"/>
      </w:pPr>
      <w:r>
        <w:t xml:space="preserve">3. Product transition offers a second leg of upside</w:t>
      </w:r>
    </w:p>
    <w:p>
      <w:pPr>
        <w:pStyle w:val="FirstParagraph"/>
      </w:pPr>
      <w:r>
        <w:t xml:space="preserve">WDC’s next major product catalyst is the ramp of</w:t>
      </w:r>
      <w:r>
        <w:t xml:space="preserve"> </w:t>
      </w:r>
      <w:r>
        <w:rPr>
          <w:b/>
          <w:bCs/>
        </w:rPr>
        <w:t xml:space="preserve">40TB ePMR</w:t>
      </w:r>
      <w:r>
        <w:t xml:space="preserve"> </w:t>
      </w:r>
      <w:r>
        <w:t xml:space="preserve">drives in the second half of calendar 2026, following current products at up to 32TB. This higher-capacity transition should improve customer total cost of ownership and give WDC another opportunity to capture value through price and mix.</w:t>
      </w:r>
    </w:p>
    <w:p>
      <w:pPr>
        <w:pStyle w:val="BodyText"/>
      </w:pPr>
      <w:r>
        <w:t xml:space="preserve">Other milestones to watch: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UltraSMR adoption:</w:t>
      </w:r>
      <w:r>
        <w:t xml:space="preserve"> </w:t>
      </w:r>
      <w:r>
        <w:t xml:space="preserve">Three of WDC’s largest customers have adopted the technology; management expects close to</w:t>
      </w:r>
      <w:r>
        <w:t xml:space="preserve"> </w:t>
      </w:r>
      <w:r>
        <w:rPr>
          <w:b/>
          <w:bCs/>
        </w:rPr>
        <w:t xml:space="preserve">60% of exabytes shipped</w:t>
      </w:r>
      <w:r>
        <w:t xml:space="preserve"> </w:t>
      </w:r>
      <w:r>
        <w:t xml:space="preserve">to use UltraSMR by the end of fiscal 2027.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HAMR:</w:t>
      </w:r>
      <w:r>
        <w:t xml:space="preserve"> </w:t>
      </w:r>
      <w:r>
        <w:t xml:space="preserve">WDC has four customers in qualification and expects a volume ramp in 2027. The near-term focus is reliability, yield, and quality—not merely announcing qualification wins.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High-bandwidth / dual-pivot drives:</w:t>
      </w:r>
      <w:r>
        <w:t xml:space="preserve"> </w:t>
      </w:r>
      <w:r>
        <w:t xml:space="preserve">These products are targeted at emerging AI-storage workloads and could broaden WDC’s relevance beyond conventional capacity storage.</w:t>
      </w:r>
    </w:p>
    <w:bookmarkEnd w:id="13"/>
    <w:bookmarkEnd w:id="14"/>
    <w:bookmarkStart w:id="16" w:name="Xccca6f1df1aa9ddb43fca46ee1fa5c05e3a8ffd"/>
    <w:p>
      <w:pPr>
        <w:pStyle w:val="Heading2"/>
      </w:pPr>
      <w:r>
        <w:t xml:space="preserve">The earnings call matters more than the print</w:t>
      </w:r>
    </w:p>
    <w:bookmarkStart w:id="15" w:name="what-investors-will-want-to-hear"/>
    <w:p>
      <w:pPr>
        <w:pStyle w:val="Heading3"/>
      </w:pPr>
      <w:r>
        <w:t xml:space="preserve">What investors will want to hear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Fiscal Q1 FY2027 revenue and EPS guidance</w:t>
      </w:r>
    </w:p>
    <w:p>
      <w:pPr>
        <w:pStyle w:val="Compact"/>
        <w:numPr>
          <w:ilvl w:val="1"/>
          <w:numId w:val="1003"/>
        </w:numPr>
      </w:pPr>
      <w:r>
        <w:t xml:space="preserve">Is cloud demand continuing to rise sequentially?</w:t>
      </w:r>
    </w:p>
    <w:p>
      <w:pPr>
        <w:pStyle w:val="Compact"/>
        <w:numPr>
          <w:ilvl w:val="1"/>
          <w:numId w:val="1003"/>
        </w:numPr>
      </w:pPr>
      <w:r>
        <w:t xml:space="preserve">Does the company guide beyond the seasonal pattern?</w:t>
      </w:r>
    </w:p>
    <w:p>
      <w:pPr>
        <w:pStyle w:val="Compact"/>
        <w:numPr>
          <w:ilvl w:val="1"/>
          <w:numId w:val="1003"/>
        </w:numPr>
      </w:pPr>
      <w:r>
        <w:t xml:space="preserve">Does it retain or raise its confidence in pricing?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Gross-margin trajectory</w:t>
      </w:r>
    </w:p>
    <w:p>
      <w:pPr>
        <w:pStyle w:val="Compact"/>
        <w:numPr>
          <w:ilvl w:val="1"/>
          <w:numId w:val="1004"/>
        </w:numPr>
      </w:pPr>
      <w:r>
        <w:t xml:space="preserve">Can WDC sustain gross margin above 50%?</w:t>
      </w:r>
    </w:p>
    <w:p>
      <w:pPr>
        <w:pStyle w:val="Compact"/>
        <w:numPr>
          <w:ilvl w:val="1"/>
          <w:numId w:val="1004"/>
        </w:numPr>
      </w:pPr>
      <w:r>
        <w:t xml:space="preserve">Is 40TB ePMR enough to support another leg higher?</w:t>
      </w:r>
    </w:p>
    <w:p>
      <w:pPr>
        <w:pStyle w:val="Compact"/>
        <w:numPr>
          <w:ilvl w:val="1"/>
          <w:numId w:val="1004"/>
        </w:numPr>
      </w:pPr>
      <w:r>
        <w:t xml:space="preserve">Are price, cost reduction, and higher-capacity mix all contributing?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Exabyte growth versus price per TB</w:t>
      </w:r>
    </w:p>
    <w:p>
      <w:pPr>
        <w:pStyle w:val="Compact"/>
        <w:numPr>
          <w:ilvl w:val="1"/>
          <w:numId w:val="1005"/>
        </w:numPr>
      </w:pPr>
      <w:r>
        <w:t xml:space="preserve">WDC has emphasized long-term exabyte growth above 25%.</w:t>
      </w:r>
    </w:p>
    <w:p>
      <w:pPr>
        <w:pStyle w:val="Compact"/>
        <w:numPr>
          <w:ilvl w:val="1"/>
          <w:numId w:val="1005"/>
        </w:numPr>
      </w:pPr>
      <w:r>
        <w:t xml:space="preserve">Investors should distinguish between demand growth supported by real capacity consumption and growth driven primarily by price.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Long-term agreement coverage and flexibility</w:t>
      </w:r>
    </w:p>
    <w:p>
      <w:pPr>
        <w:pStyle w:val="Compact"/>
        <w:numPr>
          <w:ilvl w:val="1"/>
          <w:numId w:val="1006"/>
        </w:numPr>
      </w:pPr>
      <w:r>
        <w:t xml:space="preserve">Management has stated that LTAs include committed exabyte volumes and pricing constructs, while incremental supply above baseline commitments may command different pricing.</w:t>
      </w:r>
    </w:p>
    <w:p>
      <w:pPr>
        <w:pStyle w:val="Compact"/>
        <w:numPr>
          <w:ilvl w:val="1"/>
          <w:numId w:val="1006"/>
        </w:numPr>
      </w:pPr>
      <w:r>
        <w:t xml:space="preserve">The most bullish update would be deeper multiyear volume visibility without sacrificing pricing upside.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40TB ePMR ramp and HAMR execution</w:t>
      </w:r>
    </w:p>
    <w:p>
      <w:pPr>
        <w:pStyle w:val="Compact"/>
        <w:numPr>
          <w:ilvl w:val="1"/>
          <w:numId w:val="1007"/>
        </w:numPr>
      </w:pPr>
      <w:r>
        <w:t xml:space="preserve">Any indication that the 40TB ramp is ahead of schedule, with strong yields, would be constructive.</w:t>
      </w:r>
    </w:p>
    <w:p>
      <w:pPr>
        <w:pStyle w:val="Compact"/>
        <w:numPr>
          <w:ilvl w:val="1"/>
          <w:numId w:val="1007"/>
        </w:numPr>
      </w:pPr>
      <w:r>
        <w:t xml:space="preserve">Any delay or qualification issue around HAMR could matter disproportionately because WDC’s roadmap is a key part of the long-term bull case.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Capital returns and remaining Sandisk stake</w:t>
      </w:r>
    </w:p>
    <w:p>
      <w:pPr>
        <w:pStyle w:val="Compact"/>
        <w:numPr>
          <w:ilvl w:val="1"/>
          <w:numId w:val="1008"/>
        </w:numPr>
      </w:pPr>
      <w:r>
        <w:t xml:space="preserve">In Q3, WDC produced</w:t>
      </w:r>
      <w:r>
        <w:t xml:space="preserve"> </w:t>
      </w:r>
      <w:r>
        <w:rPr>
          <w:b/>
          <w:bCs/>
        </w:rPr>
        <w:t xml:space="preserve">$978 million</w:t>
      </w:r>
      <w:r>
        <w:t xml:space="preserve"> </w:t>
      </w:r>
      <w:r>
        <w:t xml:space="preserve">of free cash flow and returned capital through a $0.15 quarterly dividend plus $752 million of buybacks.</w:t>
      </w:r>
    </w:p>
    <w:p>
      <w:pPr>
        <w:pStyle w:val="Compact"/>
        <w:numPr>
          <w:ilvl w:val="1"/>
          <w:numId w:val="1008"/>
        </w:numPr>
      </w:pPr>
      <w:r>
        <w:t xml:space="preserve">The company had become net-cash positive at Q3-end and subsequently entered an agreement in June to exchange</w:t>
      </w:r>
      <w:r>
        <w:t xml:space="preserve"> </w:t>
      </w:r>
      <w:r>
        <w:rPr>
          <w:b/>
          <w:bCs/>
        </w:rPr>
        <w:t xml:space="preserve">1.04 million Sandisk shares</w:t>
      </w:r>
      <w:r>
        <w:t xml:space="preserve"> </w:t>
      </w:r>
      <w:r>
        <w:t xml:space="preserve">for WDC shares held by institutional investors. Investors should look for an update on further monetization of its remaining Sandisk position and the pace of repurchases.</w:t>
      </w:r>
    </w:p>
    <w:bookmarkEnd w:id="15"/>
    <w:bookmarkEnd w:id="16"/>
    <w:bookmarkStart w:id="17" w:name="key-risks-into-the-report"/>
    <w:p>
      <w:pPr>
        <w:pStyle w:val="Heading2"/>
      </w:pPr>
      <w:r>
        <w:t xml:space="preserve">Key risks into the report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High expectations:</w:t>
      </w:r>
      <w:r>
        <w:t xml:space="preserve"> </w:t>
      </w:r>
      <w:r>
        <w:t xml:space="preserve">A revenue/EPS beat without stronger forward guidance may disappoint, especially after consensus already moved above the company’s midpoint.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Pricing normalization:</w:t>
      </w:r>
      <w:r>
        <w:t xml:space="preserve"> </w:t>
      </w:r>
      <w:r>
        <w:t xml:space="preserve">The present HDD environment is unusually favorable. Any suggestion that customers resist higher prices, or that pricing flattens, would pressure the margin narrative.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Customer concentration:</w:t>
      </w:r>
      <w:r>
        <w:t xml:space="preserve"> </w:t>
      </w:r>
      <w:r>
        <w:t xml:space="preserve">Cloud represented 89% of Q3 revenue. That makes WDC highly exposed to the timing of a relatively small number of hyperscaler deployments.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Technology execution:</w:t>
      </w:r>
      <w:r>
        <w:t xml:space="preserve"> </w:t>
      </w:r>
      <w:r>
        <w:t xml:space="preserve">The investment case increasingly relies on smooth transitions to 40TB ePMR, UltraSMR adoption, and HAMR.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Macro, trade, and supply-chain exposure:</w:t>
      </w:r>
      <w:r>
        <w:t xml:space="preserve"> </w:t>
      </w:r>
      <w:r>
        <w:t xml:space="preserve">WDC has specifically identified tariffs/trade restrictions, supplier dependence, and global economic conditions as risks.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GAAP volatility from Sandisk-related items:</w:t>
      </w:r>
      <w:r>
        <w:t xml:space="preserve"> </w:t>
      </w:r>
      <w:r>
        <w:t xml:space="preserve">WDC’s GAAP results can be distorted by mark-to-market gains/losses on its retained Sandisk interest and prior debt/equity exchange costs. Investors should focus primarily on</w:t>
      </w:r>
      <w:r>
        <w:t xml:space="preserve"> </w:t>
      </w:r>
      <w:r>
        <w:rPr>
          <w:b/>
          <w:bCs/>
        </w:rPr>
        <w:t xml:space="preserve">non-GAAP EPS, gross margin, free cash flow, and the balance sheet</w:t>
      </w:r>
      <w:r>
        <w:t xml:space="preserve">.</w:t>
      </w:r>
    </w:p>
    <w:bookmarkEnd w:id="17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WDC’s Q4 setup is fundamentally favorable: strong cloud demand, disciplined HDD supply, higher pricing, rising drive capacities, and operating leverage should support another very strong report. But after Q3’s 50.5% non-GAAP gross margin and Q4 guidance for 51%–52%, the market is asking a harder question:</w:t>
      </w:r>
    </w:p>
    <w:p>
      <w:pPr>
        <w:pStyle w:val="BlockText"/>
      </w:pPr>
      <w:r>
        <w:rPr>
          <w:b/>
          <w:bCs/>
        </w:rPr>
        <w:t xml:space="preserve">Can WDC demonstrate that its earnings power is still rising as it enters fiscal 2027?</w:t>
      </w:r>
    </w:p>
    <w:p>
      <w:pPr>
        <w:pStyle w:val="FirstParagraph"/>
      </w:pPr>
      <w:r>
        <w:t xml:space="preserve">A constructive outcome would be: revenue and EPS above consensus, gross margin at or above the high end of guidance, confident Q1 guidance, and evidence that 40TB ePMR/UltraSMR are extending—not merely maintaining—the pricing and margin cycle.</w:t>
      </w:r>
    </w:p>
    <w:p>
      <w:pPr>
        <w:pStyle w:val="BodyText"/>
      </w:pPr>
      <w:r>
        <w:t xml:space="preserve">A weaker outcome would be: an in-line Q4 accompanied by conservative Q1 revenue or margin guidance, which would imply that much of the favorable HDD cycle is already reflected in expectations.</w:t>
      </w:r>
    </w:p>
    <w:bookmarkStart w:id="18" w:name="research-basis"/>
    <w:p>
      <w:pPr>
        <w:pStyle w:val="Heading3"/>
      </w:pPr>
      <w:r>
        <w:t xml:space="preserve">Research basis</w:t>
      </w:r>
    </w:p>
    <w:p>
      <w:pPr>
        <w:pStyle w:val="Compact"/>
        <w:numPr>
          <w:ilvl w:val="0"/>
          <w:numId w:val="1010"/>
        </w:numPr>
      </w:pPr>
      <w:r>
        <w:t xml:space="preserve">Western Digital FY2026 Q3 earnings release and earnings-call transcript, April 30, 2026</w:t>
      </w:r>
    </w:p>
    <w:p>
      <w:pPr>
        <w:pStyle w:val="Compact"/>
        <w:numPr>
          <w:ilvl w:val="0"/>
          <w:numId w:val="1010"/>
        </w:numPr>
      </w:pPr>
      <w:r>
        <w:t xml:space="preserve">Western Digital July 2026 earnings-date announcement</w:t>
      </w:r>
    </w:p>
    <w:p>
      <w:pPr>
        <w:pStyle w:val="Compact"/>
        <w:numPr>
          <w:ilvl w:val="0"/>
          <w:numId w:val="1010"/>
        </w:numPr>
      </w:pPr>
      <w:r>
        <w:t xml:space="preserve">Western Digital June 11, 2026 Form 8-K regarding Sandisk-for-WDC-share exchange transactions</w:t>
      </w:r>
    </w:p>
    <w:p>
      <w:pPr>
        <w:pStyle w:val="Compact"/>
        <w:numPr>
          <w:ilvl w:val="0"/>
          <w:numId w:val="1010"/>
        </w:numPr>
      </w:pPr>
      <w:r>
        <w:t xml:space="preserve">WDC price history through August 4, 2026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2026-08-05T00:46:27Z</dcterms:created>
  <dcterms:modified xsi:type="dcterms:W3CDTF">2026-08-05T00:46:27Z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