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Western Digital Corporation (WDC) — Q4 FY2026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Western Digital Corporation</w:t>
            </w:r>
          </w:p>
        </w:tc>
      </w:tr>
      <w:tr>
        <w:tc>
          <w:tcPr>
            <w:tcW w:type="dxa" w:w="4320"/>
          </w:tcPr>
          <w:p>
            <w:r>
              <w:rPr>
                <w:rFonts w:ascii="Calibri" w:hAnsi="Calibri"/>
                <w:b/>
                <w:sz w:val="22"/>
              </w:rPr>
              <w:t>Ticker</w:t>
            </w:r>
          </w:p>
        </w:tc>
        <w:tc>
          <w:tcPr>
            <w:tcW w:type="dxa" w:w="4320"/>
          </w:tcPr>
          <w:p>
            <w:r>
              <w:rPr>
                <w:rFonts w:ascii="Calibri" w:hAnsi="Calibri"/>
                <w:sz w:val="22"/>
              </w:rPr>
              <w:t>WDC (NASDAQ)</w:t>
            </w:r>
          </w:p>
        </w:tc>
      </w:tr>
      <w:tr>
        <w:tc>
          <w:tcPr>
            <w:tcW w:type="dxa" w:w="4320"/>
          </w:tcPr>
          <w:p>
            <w:r>
              <w:rPr>
                <w:rFonts w:ascii="Calibri" w:hAnsi="Calibri"/>
                <w:b/>
                <w:sz w:val="22"/>
              </w:rPr>
              <w:t>Upcoming Earnings Date</w:t>
            </w:r>
          </w:p>
        </w:tc>
        <w:tc>
          <w:tcPr>
            <w:tcW w:type="dxa" w:w="4320"/>
          </w:tcPr>
          <w:p>
            <w:r>
              <w:rPr>
                <w:rFonts w:ascii="Calibri" w:hAnsi="Calibri"/>
                <w:sz w:val="22"/>
              </w:rPr>
              <w:t>August 5, 2026 (Q4 FY2026)</w:t>
            </w:r>
          </w:p>
        </w:tc>
      </w:tr>
      <w:tr>
        <w:tc>
          <w:tcPr>
            <w:tcW w:type="dxa" w:w="4320"/>
          </w:tcPr>
          <w:p>
            <w:r>
              <w:rPr>
                <w:rFonts w:ascii="Calibri" w:hAnsi="Calibri"/>
                <w:b/>
                <w:sz w:val="22"/>
              </w:rPr>
              <w:t>Reporting Period</w:t>
            </w:r>
          </w:p>
        </w:tc>
        <w:tc>
          <w:tcPr>
            <w:tcW w:type="dxa" w:w="4320"/>
          </w:tcPr>
          <w:p>
            <w:r>
              <w:rPr>
                <w:rFonts w:ascii="Calibri" w:hAnsi="Calibri"/>
                <w:sz w:val="22"/>
              </w:rPr>
              <w:t>Fiscal Q4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August 4, 2026</w:t>
            </w:r>
          </w:p>
        </w:tc>
      </w:tr>
      <w:tr>
        <w:tc>
          <w:tcPr>
            <w:tcW w:type="dxa" w:w="4320"/>
          </w:tcPr>
          <w:p>
            <w:r>
              <w:rPr>
                <w:rFonts w:ascii="Calibri" w:hAnsi="Calibri"/>
                <w:b/>
                <w:sz w:val="22"/>
              </w:rPr>
              <w:t>Last Earnings</w:t>
            </w:r>
          </w:p>
        </w:tc>
        <w:tc>
          <w:tcPr>
            <w:tcW w:type="dxa" w:w="4320"/>
          </w:tcPr>
          <w:p>
            <w:r>
              <w:rPr>
                <w:rFonts w:ascii="Calibri" w:hAnsi="Calibri"/>
                <w:sz w:val="22"/>
              </w:rPr>
              <w:t>April 30, 2026 (Q3 FY2026)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is constructive but bar is high — consensus is tracking well above Q3 actuals and management's own Q4 guidance midpoint, with the single biggest swing factor being whether </w:t>
      </w:r>
      <w:r>
        <w:rPr>
          <w:rFonts w:ascii="Calibri" w:hAnsi="Calibri"/>
          <w:b/>
          <w:color w:val="525866"/>
          <w:sz w:val="22"/>
        </w:rPr>
        <w:t>gross margin can sustain above 51%</w:t>
      </w:r>
      <w:r>
        <w:rPr>
          <w:rFonts w:ascii="Calibri" w:hAnsi="Calibri"/>
          <w:color w:val="525866"/>
          <w:sz w:val="22"/>
        </w:rPr>
        <w:t xml:space="preserve"> and whether exabyte shipment growth continues to outpace the already-elevated Street estimate of ~242 EB.</w:t>
      </w:r>
    </w:p>
    <w:p>
      <w:r>
        <w:rPr>
          <w:rFonts w:ascii="Calibri" w:hAnsi="Calibri"/>
          <w:color w:val="525866"/>
          <w:sz w:val="22"/>
        </w:rPr>
        <w:t xml:space="preserve">WDC heads into its Q4 FY2026 print with one of the strongest fundamental backdrops in the company's history, yet the stock has already given back a significant portion of its post-earnings rally — falling from a peak of $746 on June 18 to ~$549 today — suggesting the market is recalibrating expectations after an extraordinary run. </w:t>
      </w:r>
      <w:r>
        <w:rPr>
          <w:rFonts w:ascii="Calibri" w:hAnsi="Calibri"/>
          <w:b/>
          <w:color w:val="525866"/>
          <w:sz w:val="22"/>
        </w:rPr>
        <w:t>Consensus revenue of ~$3.71B sits above the $3.65B guidance midpoint</w:t>
      </w:r>
      <w:r>
        <w:rPr>
          <w:rFonts w:ascii="Calibri" w:hAnsi="Calibri"/>
          <w:color w:val="525866"/>
          <w:sz w:val="22"/>
        </w:rPr>
        <w:t xml:space="preserve"> (+1.7%), and consensus EPS of ~$3.35 is above the $3.25 guidance midpoint (+3.1%), implying the Street is already pricing in a beat. Management's tone on the Q3 call was unambiguously bullish — gross margins crossed 50% for the first time, LTAs now extend into calendar 2029, and HAMR is in qualification with four customers — and there has been no post-earnings guidance revision, leaving the Q4 bar essentially set by the strong Q3 guide. </w:t>
      </w:r>
      <w:r>
        <w:rPr>
          <w:rFonts w:ascii="Calibri" w:hAnsi="Calibri"/>
          <w:b/>
          <w:color w:val="525866"/>
          <w:sz w:val="22"/>
        </w:rPr>
        <w:t>Estimate revisions have moved modestly higher since the April 30 print</w:t>
      </w:r>
      <w:r>
        <w:rPr>
          <w:rFonts w:ascii="Calibri" w:hAnsi="Calibri"/>
          <w:color w:val="525866"/>
          <w:sz w:val="22"/>
        </w:rPr>
        <w:t xml:space="preserve"> (FY2026 EPS consensus up ~0.2% from the post-print baseline), suggesting the Street has largely absorbed the guidance beat without aggressive upward revision — a potential cushion if execution is clean. The stock's sharp pullback from $746 to $549 (−26%) despite no fundamental deterioration implies sentiment-driven selling rather than estimate cuts, and the current ~$549 level represents a more reasonable entry relative to the FY2027 consensus EPS of ~$18.81. </w:t>
      </w:r>
      <w:r>
        <w:rPr>
          <w:rFonts w:ascii="Calibri" w:hAnsi="Calibri"/>
          <w:color w:val="525866"/>
          <w:sz w:val="22"/>
        </w:rPr>
        <w:t>The key wildcard is whether Seagate's blowout Q4 FY2026 print (revenue $3.6B, gross margin 52.7%, September quarter guide of $4.1B) and its commentary on a widening supply-demand gap and accelerating pricing will serve as a strong positive read-through for WDC's own Q4 results and Q1 FY2027 guide.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sits modestly above guidance midpoints on both revenue and EPS, making this a </w:t>
      </w:r>
      <w:r>
        <w:rPr>
          <w:rFonts w:ascii="Calibri" w:hAnsi="Calibri"/>
          <w:b/>
          <w:color w:val="525866"/>
          <w:sz w:val="22"/>
        </w:rPr>
        <w:t>beat-or-meet setup</w:t>
      </w:r>
      <w:r>
        <w:rPr>
          <w:rFonts w:ascii="Calibri" w:hAnsi="Calibri"/>
          <w:color w:val="525866"/>
          <w:sz w:val="22"/>
        </w:rPr>
        <w:t xml:space="preserve"> rather than a low-bar print. Gross margin is the bigger swing factor — the Street expects ~51.9% vs. guidance of 51–52%, and any upside surprise there (as in Q3 when WDC printed 50.5% vs. 47–48% guide) would be the most meaningful catalyst.</w:t>
      </w:r>
    </w:p>
    <w:p>
      <w:pPr>
        <w:pStyle w:val="Heading3"/>
      </w:pPr>
      <w:r>
        <w:rPr>
          <w:rFonts w:ascii="Calibri" w:hAnsi="Calibri"/>
          <w:b/>
          <w:color w:val="3B4259"/>
          <w:sz w:val="24"/>
        </w:rPr>
        <w:t>Table 1 — Q4 FY2026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Q3 FY2026 Actual (Last Qtr)</w:t>
            </w:r>
          </w:p>
        </w:tc>
        <w:tc>
          <w:tcPr>
            <w:tcW w:type="dxa" w:w="1234"/>
            <w:shd w:val="clear" w:color="auto" w:fill="3B4259"/>
          </w:tcPr>
          <w:p>
            <w:r>
              <w:rPr>
                <w:rFonts w:ascii="Calibri" w:hAnsi="Calibri"/>
                <w:b/>
                <w:color w:val="FFFFFF"/>
                <w:sz w:val="22"/>
              </w:rPr>
              <w:t>Q4 FY2025 Actual (Prior Year)</w:t>
            </w:r>
          </w:p>
        </w:tc>
        <w:tc>
          <w:tcPr>
            <w:tcW w:type="dxa" w:w="1234"/>
            <w:shd w:val="clear" w:color="auto" w:fill="3B4259"/>
          </w:tcPr>
          <w:p>
            <w:r>
              <w:rPr>
                <w:rFonts w:ascii="Calibri" w:hAnsi="Calibri"/>
                <w:b/>
                <w:color w:val="FFFFFF"/>
                <w:sz w:val="22"/>
              </w:rPr>
              <w:t>Q4 FY2026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Q4 FY2026 Guidance (Midpoint)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 net ($B)</w:t>
            </w:r>
          </w:p>
        </w:tc>
        <w:tc>
          <w:tcPr>
            <w:tcW w:type="dxa" w:w="1234"/>
          </w:tcPr>
          <w:p>
            <w:r>
              <w:rPr>
                <w:rFonts w:ascii="Calibri" w:hAnsi="Calibri"/>
                <w:sz w:val="22"/>
              </w:rPr>
              <w:t>$3.337B</w:t>
            </w:r>
          </w:p>
        </w:tc>
        <w:tc>
          <w:tcPr>
            <w:tcW w:type="dxa" w:w="1234"/>
          </w:tcPr>
          <w:p>
            <w:r>
              <w:rPr>
                <w:rFonts w:ascii="Calibri" w:hAnsi="Calibri"/>
                <w:sz w:val="22"/>
              </w:rPr>
              <w:t>$2.605B</w:t>
            </w:r>
          </w:p>
        </w:tc>
        <w:tc>
          <w:tcPr>
            <w:tcW w:type="dxa" w:w="1234"/>
          </w:tcPr>
          <w:p>
            <w:r>
              <w:rPr>
                <w:rFonts w:ascii="Calibri" w:hAnsi="Calibri"/>
                <w:sz w:val="22"/>
              </w:rPr>
              <w:t>$3.714B</w:t>
            </w:r>
          </w:p>
        </w:tc>
        <w:tc>
          <w:tcPr>
            <w:tcW w:type="dxa" w:w="1234"/>
          </w:tcPr>
          <w:p>
            <w:r>
              <w:rPr>
                <w:rFonts w:ascii="Calibri" w:hAnsi="Calibri"/>
                <w:b/>
                <w:color w:val="30A46C"/>
                <w:sz w:val="22"/>
              </w:rPr>
              <w:t>+42.6% YoY</w:t>
            </w:r>
          </w:p>
        </w:tc>
        <w:tc>
          <w:tcPr>
            <w:tcW w:type="dxa" w:w="1234"/>
          </w:tcPr>
          <w:p>
            <w:r>
              <w:rPr>
                <w:rFonts w:ascii="Calibri" w:hAnsi="Calibri"/>
                <w:sz w:val="22"/>
              </w:rPr>
              <w:t>$3.650B</w:t>
            </w:r>
          </w:p>
        </w:tc>
        <w:tc>
          <w:tcPr>
            <w:tcW w:type="dxa" w:w="1234"/>
          </w:tcPr>
          <w:p>
            <w:r>
              <w:rPr>
                <w:rFonts w:ascii="Calibri" w:hAnsi="Calibri"/>
                <w:b/>
                <w:color w:val="30A46C"/>
                <w:sz w:val="22"/>
              </w:rPr>
              <w:t>+1.7%</w:t>
            </w:r>
          </w:p>
        </w:tc>
      </w:tr>
      <w:tr>
        <w:tc>
          <w:tcPr>
            <w:tcW w:type="dxa" w:w="1234"/>
          </w:tcPr>
          <w:p>
            <w:r>
              <w:rPr>
                <w:rFonts w:ascii="Calibri" w:hAnsi="Calibri"/>
                <w:sz w:val="22"/>
              </w:rPr>
              <w:t>Non-GAAP Gross Profit ($B)</w:t>
            </w:r>
          </w:p>
        </w:tc>
        <w:tc>
          <w:tcPr>
            <w:tcW w:type="dxa" w:w="1234"/>
          </w:tcPr>
          <w:p>
            <w:r>
              <w:rPr>
                <w:rFonts w:ascii="Calibri" w:hAnsi="Calibri"/>
                <w:sz w:val="22"/>
              </w:rPr>
              <w:t>$1.684B</w:t>
            </w:r>
          </w:p>
        </w:tc>
        <w:tc>
          <w:tcPr>
            <w:tcW w:type="dxa" w:w="1234"/>
          </w:tcPr>
          <w:p>
            <w:r>
              <w:rPr>
                <w:rFonts w:ascii="Calibri" w:hAnsi="Calibri"/>
                <w:sz w:val="22"/>
              </w:rPr>
              <w:t>$1.077B</w:t>
            </w:r>
          </w:p>
        </w:tc>
        <w:tc>
          <w:tcPr>
            <w:tcW w:type="dxa" w:w="1234"/>
          </w:tcPr>
          <w:p>
            <w:r>
              <w:rPr>
                <w:rFonts w:ascii="Calibri" w:hAnsi="Calibri"/>
                <w:sz w:val="22"/>
              </w:rPr>
              <w:t>$1.927B</w:t>
            </w:r>
          </w:p>
        </w:tc>
        <w:tc>
          <w:tcPr>
            <w:tcW w:type="dxa" w:w="1234"/>
          </w:tcPr>
          <w:p>
            <w:r>
              <w:rPr>
                <w:rFonts w:ascii="Calibri" w:hAnsi="Calibri"/>
                <w:b/>
                <w:color w:val="30A46C"/>
                <w:sz w:val="22"/>
              </w:rPr>
              <w:t>+78.9% YoY</w:t>
            </w:r>
          </w:p>
        </w:tc>
        <w:tc>
          <w:tcPr>
            <w:tcW w:type="dxa" w:w="1234"/>
          </w:tcPr>
          <w:p>
            <w:r>
              <w:rPr>
                <w:rFonts w:ascii="Calibri" w:hAnsi="Calibri"/>
                <w:sz w:val="22"/>
              </w:rPr>
              <w:t>~$1.88–$1.95B (51–52% of rev)</w:t>
            </w:r>
          </w:p>
        </w:tc>
        <w:tc>
          <w:tcPr>
            <w:tcW w:type="dxa" w:w="1234"/>
          </w:tcPr>
          <w:p>
            <w:r>
              <w:rPr>
                <w:rFonts w:ascii="Calibri" w:hAnsi="Calibri"/>
                <w:sz w:val="22"/>
              </w:rPr>
              <w:t>~+1.9%</w:t>
            </w:r>
          </w:p>
        </w:tc>
      </w:tr>
      <w:tr>
        <w:tc>
          <w:tcPr>
            <w:tcW w:type="dxa" w:w="1234"/>
          </w:tcPr>
          <w:p>
            <w:r>
              <w:rPr>
                <w:rFonts w:ascii="Calibri" w:hAnsi="Calibri"/>
                <w:sz w:val="22"/>
              </w:rPr>
              <w:t>Non-GAAP Gross Margin (%)</w:t>
            </w:r>
          </w:p>
        </w:tc>
        <w:tc>
          <w:tcPr>
            <w:tcW w:type="dxa" w:w="1234"/>
          </w:tcPr>
          <w:p>
            <w:r>
              <w:rPr>
                <w:rFonts w:ascii="Calibri" w:hAnsi="Calibri"/>
                <w:sz w:val="22"/>
              </w:rPr>
              <w:t>50.5%</w:t>
            </w:r>
          </w:p>
        </w:tc>
        <w:tc>
          <w:tcPr>
            <w:tcW w:type="dxa" w:w="1234"/>
          </w:tcPr>
          <w:p>
            <w:r>
              <w:rPr>
                <w:rFonts w:ascii="Calibri" w:hAnsi="Calibri"/>
                <w:sz w:val="22"/>
              </w:rPr>
              <w:t>41.3%</w:t>
            </w:r>
          </w:p>
        </w:tc>
        <w:tc>
          <w:tcPr>
            <w:tcW w:type="dxa" w:w="1234"/>
          </w:tcPr>
          <w:p>
            <w:r>
              <w:rPr>
                <w:rFonts w:ascii="Calibri" w:hAnsi="Calibri"/>
                <w:sz w:val="22"/>
              </w:rPr>
              <w:t>~51.9% (implied)</w:t>
            </w:r>
          </w:p>
        </w:tc>
        <w:tc>
          <w:tcPr>
            <w:tcW w:type="dxa" w:w="1234"/>
          </w:tcPr>
          <w:p>
            <w:r>
              <w:rPr>
                <w:rFonts w:ascii="Calibri" w:hAnsi="Calibri"/>
                <w:b/>
                <w:color w:val="30A46C"/>
                <w:sz w:val="22"/>
              </w:rPr>
              <w:t>+1,060 bps YoY</w:t>
            </w:r>
          </w:p>
        </w:tc>
        <w:tc>
          <w:tcPr>
            <w:tcW w:type="dxa" w:w="1234"/>
          </w:tcPr>
          <w:p>
            <w:r>
              <w:rPr>
                <w:rFonts w:ascii="Calibri" w:hAnsi="Calibri"/>
                <w:sz w:val="22"/>
              </w:rPr>
              <w:t>51.5% (midpoint of 51–52%)</w:t>
            </w:r>
          </w:p>
        </w:tc>
        <w:tc>
          <w:tcPr>
            <w:tcW w:type="dxa" w:w="1234"/>
          </w:tcPr>
          <w:p>
            <w:r>
              <w:rPr>
                <w:rFonts w:ascii="Calibri" w:hAnsi="Calibri"/>
                <w:sz w:val="22"/>
              </w:rPr>
              <w:t>+40 bps</w:t>
            </w:r>
          </w:p>
        </w:tc>
      </w:tr>
      <w:tr>
        <w:tc>
          <w:tcPr>
            <w:tcW w:type="dxa" w:w="1234"/>
          </w:tcPr>
          <w:p>
            <w:r>
              <w:rPr>
                <w:rFonts w:ascii="Calibri" w:hAnsi="Calibri"/>
                <w:sz w:val="22"/>
              </w:rPr>
              <w:t>Non-GAAP EPS — Diluted ($)</w:t>
            </w:r>
          </w:p>
        </w:tc>
        <w:tc>
          <w:tcPr>
            <w:tcW w:type="dxa" w:w="1234"/>
          </w:tcPr>
          <w:p>
            <w:r>
              <w:rPr>
                <w:rFonts w:ascii="Calibri" w:hAnsi="Calibri"/>
                <w:sz w:val="22"/>
              </w:rPr>
              <w:t>$2.756</w:t>
            </w:r>
          </w:p>
        </w:tc>
        <w:tc>
          <w:tcPr>
            <w:tcW w:type="dxa" w:w="1234"/>
          </w:tcPr>
          <w:p>
            <w:r>
              <w:rPr>
                <w:rFonts w:ascii="Calibri" w:hAnsi="Calibri"/>
                <w:sz w:val="22"/>
              </w:rPr>
              <w:t>$1.748</w:t>
            </w:r>
          </w:p>
        </w:tc>
        <w:tc>
          <w:tcPr>
            <w:tcW w:type="dxa" w:w="1234"/>
          </w:tcPr>
          <w:p>
            <w:r>
              <w:rPr>
                <w:rFonts w:ascii="Calibri" w:hAnsi="Calibri"/>
                <w:sz w:val="22"/>
              </w:rPr>
              <w:t>$3.350</w:t>
            </w:r>
          </w:p>
        </w:tc>
        <w:tc>
          <w:tcPr>
            <w:tcW w:type="dxa" w:w="1234"/>
          </w:tcPr>
          <w:p>
            <w:r>
              <w:rPr>
                <w:rFonts w:ascii="Calibri" w:hAnsi="Calibri"/>
                <w:b/>
                <w:color w:val="30A46C"/>
                <w:sz w:val="22"/>
              </w:rPr>
              <w:t>+91.6% YoY</w:t>
            </w:r>
          </w:p>
        </w:tc>
        <w:tc>
          <w:tcPr>
            <w:tcW w:type="dxa" w:w="1234"/>
          </w:tcPr>
          <w:p>
            <w:r>
              <w:rPr>
                <w:rFonts w:ascii="Calibri" w:hAnsi="Calibri"/>
                <w:sz w:val="22"/>
              </w:rPr>
              <w:t>$3.25</w:t>
            </w:r>
          </w:p>
        </w:tc>
        <w:tc>
          <w:tcPr>
            <w:tcW w:type="dxa" w:w="1234"/>
          </w:tcPr>
          <w:p>
            <w:r>
              <w:rPr>
                <w:rFonts w:ascii="Calibri" w:hAnsi="Calibri"/>
                <w:b/>
                <w:color w:val="30A46C"/>
                <w:sz w:val="22"/>
              </w:rPr>
              <w:t>+3.1%</w:t>
            </w:r>
          </w:p>
        </w:tc>
      </w:tr>
      <w:tr>
        <w:tc>
          <w:tcPr>
            <w:tcW w:type="dxa" w:w="1234"/>
          </w:tcPr>
          <w:p>
            <w:r>
              <w:rPr>
                <w:rFonts w:ascii="Calibri" w:hAnsi="Calibri"/>
                <w:sz w:val="22"/>
              </w:rPr>
              <w:t>HDD Exabytes Shipped (EB)</w:t>
            </w:r>
          </w:p>
        </w:tc>
        <w:tc>
          <w:tcPr>
            <w:tcW w:type="dxa" w:w="1234"/>
          </w:tcPr>
          <w:p>
            <w:r>
              <w:rPr>
                <w:rFonts w:ascii="Calibri" w:hAnsi="Calibri"/>
                <w:sz w:val="22"/>
              </w:rPr>
              <w:t>222 EB</w:t>
            </w:r>
          </w:p>
        </w:tc>
        <w:tc>
          <w:tcPr>
            <w:tcW w:type="dxa" w:w="1234"/>
          </w:tcPr>
          <w:p>
            <w:r>
              <w:rPr>
                <w:rFonts w:ascii="Calibri" w:hAnsi="Calibri"/>
                <w:sz w:val="22"/>
              </w:rPr>
              <w:t>190 EB</w:t>
            </w:r>
          </w:p>
        </w:tc>
        <w:tc>
          <w:tcPr>
            <w:tcW w:type="dxa" w:w="1234"/>
          </w:tcPr>
          <w:p>
            <w:r>
              <w:rPr>
                <w:rFonts w:ascii="Calibri" w:hAnsi="Calibri"/>
                <w:sz w:val="22"/>
              </w:rPr>
              <w:t>~242 EB</w:t>
            </w:r>
          </w:p>
        </w:tc>
        <w:tc>
          <w:tcPr>
            <w:tcW w:type="dxa" w:w="1234"/>
          </w:tcPr>
          <w:p>
            <w:r>
              <w:rPr>
                <w:rFonts w:ascii="Calibri" w:hAnsi="Calibri"/>
                <w:b/>
                <w:color w:val="30A46C"/>
                <w:sz w:val="22"/>
              </w:rPr>
              <w:t>+27.4% YoY</w:t>
            </w:r>
          </w:p>
        </w:tc>
        <w:tc>
          <w:tcPr>
            <w:tcW w:type="dxa" w:w="1234"/>
          </w:tcPr>
          <w:p>
            <w:r>
              <w:rPr>
                <w:rFonts w:ascii="Calibri" w:hAnsi="Calibri"/>
                <w:sz w:val="22"/>
              </w:rPr>
              <w:t>N/A (not guided)</w:t>
            </w:r>
          </w:p>
        </w:tc>
        <w:tc>
          <w:tcPr>
            <w:tcW w:type="dxa" w:w="1234"/>
          </w:tcPr>
          <w:p>
            <w:r>
              <w:rPr>
                <w:rFonts w:ascii="Calibri" w:hAnsi="Calibri"/>
                <w:sz w:val="22"/>
              </w:rPr>
              <w:t>N/A</w:t>
            </w:r>
          </w:p>
        </w:tc>
      </w:tr>
      <w:tr>
        <w:tc>
          <w:tcPr>
            <w:tcW w:type="dxa" w:w="1234"/>
          </w:tcPr>
          <w:p>
            <w:r>
              <w:rPr>
                <w:rFonts w:ascii="Calibri" w:hAnsi="Calibri"/>
                <w:sz w:val="22"/>
              </w:rPr>
              <w:t>ASP/TB — HDD ($)</w:t>
            </w:r>
          </w:p>
        </w:tc>
        <w:tc>
          <w:tcPr>
            <w:tcW w:type="dxa" w:w="1234"/>
          </w:tcPr>
          <w:p>
            <w:r>
              <w:rPr>
                <w:rFonts w:ascii="Calibri" w:hAnsi="Calibri"/>
                <w:sz w:val="22"/>
              </w:rPr>
              <w:t>$15.03</w:t>
            </w:r>
          </w:p>
        </w:tc>
        <w:tc>
          <w:tcPr>
            <w:tcW w:type="dxa" w:w="1234"/>
          </w:tcPr>
          <w:p>
            <w:r>
              <w:rPr>
                <w:rFonts w:ascii="Calibri" w:hAnsi="Calibri"/>
                <w:sz w:val="22"/>
              </w:rPr>
              <w:t>$13.71</w:t>
            </w:r>
          </w:p>
        </w:tc>
        <w:tc>
          <w:tcPr>
            <w:tcW w:type="dxa" w:w="1234"/>
          </w:tcPr>
          <w:p>
            <w:r>
              <w:rPr>
                <w:rFonts w:ascii="Calibri" w:hAnsi="Calibri"/>
                <w:sz w:val="22"/>
              </w:rPr>
              <w:t>~$15.45</w:t>
            </w:r>
          </w:p>
        </w:tc>
        <w:tc>
          <w:tcPr>
            <w:tcW w:type="dxa" w:w="1234"/>
          </w:tcPr>
          <w:p>
            <w:r>
              <w:rPr>
                <w:rFonts w:ascii="Calibri" w:hAnsi="Calibri"/>
                <w:b/>
                <w:color w:val="30A46C"/>
                <w:sz w:val="22"/>
              </w:rPr>
              <w:t>+12.7% YoY</w:t>
            </w:r>
          </w:p>
        </w:tc>
        <w:tc>
          <w:tcPr>
            <w:tcW w:type="dxa" w:w="1234"/>
          </w:tcPr>
          <w:p>
            <w:r>
              <w:rPr>
                <w:rFonts w:ascii="Calibri" w:hAnsi="Calibri"/>
                <w:sz w:val="22"/>
              </w:rPr>
              <w:t>N/A (not guided)</w:t>
            </w:r>
          </w:p>
        </w:tc>
        <w:tc>
          <w:tcPr>
            <w:tcW w:type="dxa" w:w="1234"/>
          </w:tcPr>
          <w:p>
            <w:r>
              <w:rPr>
                <w:rFonts w:ascii="Calibri" w:hAnsi="Calibri"/>
                <w:sz w:val="22"/>
              </w:rPr>
              <w:t>N/A</w:t>
            </w:r>
          </w:p>
        </w:tc>
      </w:tr>
      <w:tr>
        <w:tc>
          <w:tcPr>
            <w:tcW w:type="dxa" w:w="1234"/>
          </w:tcPr>
          <w:p>
            <w:r>
              <w:rPr>
                <w:rFonts w:ascii="Calibri" w:hAnsi="Calibri"/>
                <w:sz w:val="22"/>
              </w:rPr>
              <w:t>Non-GAAP Operating Income ($B)</w:t>
            </w:r>
          </w:p>
        </w:tc>
        <w:tc>
          <w:tcPr>
            <w:tcW w:type="dxa" w:w="1234"/>
          </w:tcPr>
          <w:p>
            <w:r>
              <w:rPr>
                <w:rFonts w:ascii="Calibri" w:hAnsi="Calibri"/>
                <w:sz w:val="22"/>
              </w:rPr>
              <w:t>$1.287B</w:t>
            </w:r>
          </w:p>
        </w:tc>
        <w:tc>
          <w:tcPr>
            <w:tcW w:type="dxa" w:w="1234"/>
          </w:tcPr>
          <w:p>
            <w:r>
              <w:rPr>
                <w:rFonts w:ascii="Calibri" w:hAnsi="Calibri"/>
                <w:sz w:val="22"/>
              </w:rPr>
              <w:t>$0.732B</w:t>
            </w:r>
          </w:p>
        </w:tc>
        <w:tc>
          <w:tcPr>
            <w:tcW w:type="dxa" w:w="1234"/>
          </w:tcPr>
          <w:p>
            <w:r>
              <w:rPr>
                <w:rFonts w:ascii="Calibri" w:hAnsi="Calibri"/>
                <w:sz w:val="22"/>
              </w:rPr>
              <w:t>$1.537B</w:t>
            </w:r>
          </w:p>
        </w:tc>
        <w:tc>
          <w:tcPr>
            <w:tcW w:type="dxa" w:w="1234"/>
          </w:tcPr>
          <w:p>
            <w:r>
              <w:rPr>
                <w:rFonts w:ascii="Calibri" w:hAnsi="Calibri"/>
                <w:b/>
                <w:color w:val="30A46C"/>
                <w:sz w:val="22"/>
              </w:rPr>
              <w:t>+109.9% YoY</w:t>
            </w:r>
          </w:p>
        </w:tc>
        <w:tc>
          <w:tcPr>
            <w:tcW w:type="dxa" w:w="1234"/>
          </w:tcPr>
          <w:p>
            <w:r>
              <w:rPr>
                <w:rFonts w:ascii="Calibri" w:hAnsi="Calibri"/>
                <w:sz w:val="22"/>
              </w:rPr>
              <w:t>~$1.49–$1.57B (guided OpEx $385–395M)</w:t>
            </w:r>
          </w:p>
        </w:tc>
        <w:tc>
          <w:tcPr>
            <w:tcW w:type="dxa" w:w="1234"/>
          </w:tcPr>
          <w:p>
            <w:r>
              <w:rPr>
                <w:rFonts w:ascii="Calibri" w:hAnsi="Calibri"/>
                <w:sz w:val="22"/>
              </w:rPr>
              <w:t>~+1.8%</w:t>
            </w:r>
          </w:p>
        </w:tc>
      </w:tr>
      <w:tr>
        <w:tc>
          <w:tcPr>
            <w:tcW w:type="dxa" w:w="1234"/>
          </w:tcPr>
          <w:p>
            <w:r>
              <w:rPr>
                <w:rFonts w:ascii="Calibri" w:hAnsi="Calibri"/>
                <w:sz w:val="22"/>
              </w:rPr>
              <w:t>Free Cash Flow ($B)</w:t>
            </w:r>
          </w:p>
        </w:tc>
        <w:tc>
          <w:tcPr>
            <w:tcW w:type="dxa" w:w="1234"/>
          </w:tcPr>
          <w:p>
            <w:r>
              <w:rPr>
                <w:rFonts w:ascii="Calibri" w:hAnsi="Calibri"/>
                <w:sz w:val="22"/>
              </w:rPr>
              <w:t>$0.978B</w:t>
            </w:r>
          </w:p>
        </w:tc>
        <w:tc>
          <w:tcPr>
            <w:tcW w:type="dxa" w:w="1234"/>
          </w:tcPr>
          <w:p>
            <w:r>
              <w:rPr>
                <w:rFonts w:ascii="Calibri" w:hAnsi="Calibri"/>
                <w:sz w:val="22"/>
              </w:rPr>
              <w:t>$0.675B</w:t>
            </w:r>
          </w:p>
        </w:tc>
        <w:tc>
          <w:tcPr>
            <w:tcW w:type="dxa" w:w="1234"/>
          </w:tcPr>
          <w:p>
            <w:r>
              <w:rPr>
                <w:rFonts w:ascii="Calibri" w:hAnsi="Calibri"/>
                <w:sz w:val="22"/>
              </w:rPr>
              <w:t>~$1.060B</w:t>
            </w:r>
          </w:p>
        </w:tc>
        <w:tc>
          <w:tcPr>
            <w:tcW w:type="dxa" w:w="1234"/>
          </w:tcPr>
          <w:p>
            <w:r>
              <w:rPr>
                <w:rFonts w:ascii="Calibri" w:hAnsi="Calibri"/>
                <w:b/>
                <w:color w:val="30A46C"/>
                <w:sz w:val="22"/>
              </w:rPr>
              <w:t>+57.0% YoY</w:t>
            </w:r>
          </w:p>
        </w:tc>
        <w:tc>
          <w:tcPr>
            <w:tcW w:type="dxa" w:w="1234"/>
          </w:tcPr>
          <w:p>
            <w:r>
              <w:rPr>
                <w:rFonts w:ascii="Calibri" w:hAnsi="Calibri"/>
                <w:sz w:val="22"/>
              </w:rPr>
              <w:t>N/A (not guided)</w:t>
            </w:r>
          </w:p>
        </w:tc>
        <w:tc>
          <w:tcPr>
            <w:tcW w:type="dxa" w:w="1234"/>
          </w:tcPr>
          <w:p>
            <w:r>
              <w:rPr>
                <w:rFonts w:ascii="Calibri" w:hAnsi="Calibri"/>
                <w:sz w:val="22"/>
              </w:rPr>
              <w:t>N/A</w:t>
            </w:r>
          </w:p>
        </w:tc>
      </w:tr>
    </w:tbl>
    <w:p>
      <w:r>
        <w:rPr>
          <w:rFonts w:ascii="Calibri" w:hAnsi="Calibri"/>
          <w:i/>
          <w:color w:val="525866"/>
          <w:sz w:val="22"/>
        </w:rPr>
        <w:t>Source: Visible Alpha consensus and actuals data; Q4 FY2026 guidance from Q3 FY2026 earnings call (April 30, 2026). VA fiscal period 4QFY-2026 corresponds to quarter ended June 30, 2026. Non-GAAP gross margin % implied from gross profit consensus / revenue consensus. All consensus figures as of August 4, 2026.</w:t>
      </w:r>
    </w:p>
    <w:p>
      <w:pPr>
        <w:pStyle w:val="Heading3"/>
      </w:pPr>
      <w:r>
        <w:rPr>
          <w:rFonts w:ascii="Calibri" w:hAnsi="Calibri"/>
          <w:b/>
          <w:color w:val="3B4259"/>
          <w:sz w:val="24"/>
        </w:rPr>
        <w:t>Table 2 — Beat/Miss History (Last 8 Quarters)</w:t>
      </w:r>
    </w:p>
    <w:p>
      <w:r>
        <w:rPr>
          <w:rFonts w:ascii="Calibri" w:hAnsi="Calibri"/>
          <w:b/>
          <w:color w:val="525866"/>
          <w:sz w:val="22"/>
        </w:rPr>
        <w:t>Top KPI 1: Revenue, net | Top KPI 2: Non-GAAP EPS — Diluted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Revenue Reported ($B)</w:t>
            </w:r>
          </w:p>
        </w:tc>
        <w:tc>
          <w:tcPr>
            <w:tcW w:type="dxa" w:w="1080"/>
            <w:shd w:val="clear" w:color="auto" w:fill="3B4259"/>
          </w:tcPr>
          <w:p>
            <w:r>
              <w:rPr>
                <w:rFonts w:ascii="Calibri" w:hAnsi="Calibri"/>
                <w:b/>
                <w:color w:val="FFFFFF"/>
                <w:sz w:val="22"/>
              </w:rPr>
              <w:t>Revenue Consensus ($B)</w:t>
            </w:r>
          </w:p>
        </w:tc>
        <w:tc>
          <w:tcPr>
            <w:tcW w:type="dxa" w:w="1080"/>
            <w:shd w:val="clear" w:color="auto" w:fill="3B4259"/>
          </w:tcPr>
          <w:p>
            <w:r>
              <w:rPr>
                <w:rFonts w:ascii="Calibri" w:hAnsi="Calibri"/>
                <w:b/>
                <w:color w:val="FFFFFF"/>
                <w:sz w:val="22"/>
              </w:rPr>
              <w:t>Rev Surprise %</w:t>
            </w:r>
          </w:p>
        </w:tc>
        <w:tc>
          <w:tcPr>
            <w:tcW w:type="dxa" w:w="1080"/>
            <w:shd w:val="clear" w:color="auto" w:fill="3B4259"/>
          </w:tcPr>
          <w:p>
            <w:r>
              <w:rPr>
                <w:rFonts w:ascii="Calibri" w:hAnsi="Calibri"/>
                <w:b/>
                <w:color w:val="FFFFFF"/>
                <w:sz w:val="22"/>
              </w:rPr>
              <w:t>EPS Reported ($)</w:t>
            </w:r>
          </w:p>
        </w:tc>
        <w:tc>
          <w:tcPr>
            <w:tcW w:type="dxa" w:w="1080"/>
            <w:shd w:val="clear" w:color="auto" w:fill="3B4259"/>
          </w:tcPr>
          <w:p>
            <w:r>
              <w:rPr>
                <w:rFonts w:ascii="Calibri" w:hAnsi="Calibri"/>
                <w:b/>
                <w:color w:val="FFFFFF"/>
                <w:sz w:val="22"/>
              </w:rPr>
              <w:t>EPS Consensus ($)</w:t>
            </w:r>
          </w:p>
        </w:tc>
        <w:tc>
          <w:tcPr>
            <w:tcW w:type="dxa" w:w="1080"/>
            <w:shd w:val="clear" w:color="auto" w:fill="3B4259"/>
          </w:tcPr>
          <w:p>
            <w:r>
              <w:rPr>
                <w:rFonts w:ascii="Calibri" w:hAnsi="Calibri"/>
                <w:b/>
                <w:color w:val="FFFFFF"/>
                <w:sz w:val="22"/>
              </w:rPr>
              <w:t>EPS Surprise %</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Q3 FY2026 (Mar 2026)</w:t>
            </w:r>
          </w:p>
        </w:tc>
        <w:tc>
          <w:tcPr>
            <w:tcW w:type="dxa" w:w="1080"/>
          </w:tcPr>
          <w:p>
            <w:r>
              <w:rPr>
                <w:rFonts w:ascii="Calibri" w:hAnsi="Calibri"/>
                <w:sz w:val="22"/>
              </w:rPr>
              <w:t>$3.337</w:t>
            </w:r>
          </w:p>
        </w:tc>
        <w:tc>
          <w:tcPr>
            <w:tcW w:type="dxa" w:w="1080"/>
          </w:tcPr>
          <w:p>
            <w:r>
              <w:rPr>
                <w:rFonts w:ascii="Calibri" w:hAnsi="Calibri"/>
                <w:sz w:val="22"/>
              </w:rPr>
              <w:t>$3.257</w:t>
            </w:r>
          </w:p>
        </w:tc>
        <w:tc>
          <w:tcPr>
            <w:tcW w:type="dxa" w:w="1080"/>
          </w:tcPr>
          <w:p>
            <w:r>
              <w:rPr>
                <w:rFonts w:ascii="Calibri" w:hAnsi="Calibri"/>
                <w:b/>
                <w:color w:val="30A46C"/>
                <w:sz w:val="22"/>
              </w:rPr>
              <w:t>+2.5%</w:t>
            </w:r>
          </w:p>
        </w:tc>
        <w:tc>
          <w:tcPr>
            <w:tcW w:type="dxa" w:w="1080"/>
          </w:tcPr>
          <w:p>
            <w:r>
              <w:rPr>
                <w:rFonts w:ascii="Calibri" w:hAnsi="Calibri"/>
                <w:sz w:val="22"/>
              </w:rPr>
              <w:t>$2.756</w:t>
            </w:r>
          </w:p>
        </w:tc>
        <w:tc>
          <w:tcPr>
            <w:tcW w:type="dxa" w:w="1080"/>
          </w:tcPr>
          <w:p>
            <w:r>
              <w:rPr>
                <w:rFonts w:ascii="Calibri" w:hAnsi="Calibri"/>
                <w:sz w:val="22"/>
              </w:rPr>
              <w:t>$2.427</w:t>
            </w:r>
          </w:p>
        </w:tc>
        <w:tc>
          <w:tcPr>
            <w:tcW w:type="dxa" w:w="1080"/>
          </w:tcPr>
          <w:p>
            <w:r>
              <w:rPr>
                <w:rFonts w:ascii="Calibri" w:hAnsi="Calibri"/>
                <w:b/>
                <w:color w:val="30A46C"/>
                <w:sz w:val="22"/>
              </w:rPr>
              <w:t>+13.6%</w:t>
            </w:r>
          </w:p>
        </w:tc>
        <w:tc>
          <w:tcPr>
            <w:tcW w:type="dxa" w:w="1080"/>
          </w:tcPr>
          <w:p>
            <w:r>
              <w:rPr>
                <w:rFonts w:ascii="Calibri" w:hAnsi="Calibri"/>
                <w:b/>
                <w:color w:val="30A46C"/>
                <w:sz w:val="22"/>
              </w:rPr>
              <w:t>Beat</w:t>
            </w:r>
          </w:p>
        </w:tc>
      </w:tr>
      <w:tr>
        <w:tc>
          <w:tcPr>
            <w:tcW w:type="dxa" w:w="1080"/>
          </w:tcPr>
          <w:p>
            <w:r>
              <w:rPr>
                <w:rFonts w:ascii="Calibri" w:hAnsi="Calibri"/>
                <w:sz w:val="22"/>
              </w:rPr>
              <w:t>Q2 FY2026 (Dec 2025)</w:t>
            </w:r>
          </w:p>
        </w:tc>
        <w:tc>
          <w:tcPr>
            <w:tcW w:type="dxa" w:w="1080"/>
          </w:tcPr>
          <w:p>
            <w:r>
              <w:rPr>
                <w:rFonts w:ascii="Calibri" w:hAnsi="Calibri"/>
                <w:sz w:val="22"/>
              </w:rPr>
              <w:t>$3.017</w:t>
            </w:r>
          </w:p>
        </w:tc>
        <w:tc>
          <w:tcPr>
            <w:tcW w:type="dxa" w:w="1080"/>
          </w:tcPr>
          <w:p>
            <w:r>
              <w:rPr>
                <w:rFonts w:ascii="Calibri" w:hAnsi="Calibri"/>
                <w:sz w:val="22"/>
              </w:rPr>
              <w:t>$2.953</w:t>
            </w:r>
          </w:p>
        </w:tc>
        <w:tc>
          <w:tcPr>
            <w:tcW w:type="dxa" w:w="1080"/>
          </w:tcPr>
          <w:p>
            <w:r>
              <w:rPr>
                <w:rFonts w:ascii="Calibri" w:hAnsi="Calibri"/>
                <w:b/>
                <w:color w:val="30A46C"/>
                <w:sz w:val="22"/>
              </w:rPr>
              <w:t>+2.2%</w:t>
            </w:r>
          </w:p>
        </w:tc>
        <w:tc>
          <w:tcPr>
            <w:tcW w:type="dxa" w:w="1080"/>
          </w:tcPr>
          <w:p>
            <w:r>
              <w:rPr>
                <w:rFonts w:ascii="Calibri" w:hAnsi="Calibri"/>
                <w:sz w:val="22"/>
              </w:rPr>
              <w:t>$2.188</w:t>
            </w:r>
          </w:p>
        </w:tc>
        <w:tc>
          <w:tcPr>
            <w:tcW w:type="dxa" w:w="1080"/>
          </w:tcPr>
          <w:p>
            <w:r>
              <w:rPr>
                <w:rFonts w:ascii="Calibri" w:hAnsi="Calibri"/>
                <w:sz w:val="22"/>
              </w:rPr>
              <w:t>$1.963</w:t>
            </w:r>
          </w:p>
        </w:tc>
        <w:tc>
          <w:tcPr>
            <w:tcW w:type="dxa" w:w="1080"/>
          </w:tcPr>
          <w:p>
            <w:r>
              <w:rPr>
                <w:rFonts w:ascii="Calibri" w:hAnsi="Calibri"/>
                <w:b/>
                <w:color w:val="30A46C"/>
                <w:sz w:val="22"/>
              </w:rPr>
              <w:t>+11.5%</w:t>
            </w:r>
          </w:p>
        </w:tc>
        <w:tc>
          <w:tcPr>
            <w:tcW w:type="dxa" w:w="1080"/>
          </w:tcPr>
          <w:p>
            <w:r>
              <w:rPr>
                <w:rFonts w:ascii="Calibri" w:hAnsi="Calibri"/>
                <w:b/>
                <w:color w:val="30A46C"/>
                <w:sz w:val="22"/>
              </w:rPr>
              <w:t>Beat</w:t>
            </w:r>
          </w:p>
        </w:tc>
      </w:tr>
      <w:tr>
        <w:tc>
          <w:tcPr>
            <w:tcW w:type="dxa" w:w="1080"/>
          </w:tcPr>
          <w:p>
            <w:r>
              <w:rPr>
                <w:rFonts w:ascii="Calibri" w:hAnsi="Calibri"/>
                <w:sz w:val="22"/>
              </w:rPr>
              <w:t>Q1 FY2026 (Sep 2025)</w:t>
            </w:r>
          </w:p>
        </w:tc>
        <w:tc>
          <w:tcPr>
            <w:tcW w:type="dxa" w:w="1080"/>
          </w:tcPr>
          <w:p>
            <w:r>
              <w:rPr>
                <w:rFonts w:ascii="Calibri" w:hAnsi="Calibri"/>
                <w:sz w:val="22"/>
              </w:rPr>
              <w:t>$2.818</w:t>
            </w:r>
          </w:p>
        </w:tc>
        <w:tc>
          <w:tcPr>
            <w:tcW w:type="dxa" w:w="1080"/>
          </w:tcPr>
          <w:p>
            <w:r>
              <w:rPr>
                <w:rFonts w:ascii="Calibri" w:hAnsi="Calibri"/>
                <w:sz w:val="22"/>
              </w:rPr>
              <w:t>$2.740</w:t>
            </w:r>
          </w:p>
        </w:tc>
        <w:tc>
          <w:tcPr>
            <w:tcW w:type="dxa" w:w="1080"/>
          </w:tcPr>
          <w:p>
            <w:r>
              <w:rPr>
                <w:rFonts w:ascii="Calibri" w:hAnsi="Calibri"/>
                <w:b/>
                <w:color w:val="30A46C"/>
                <w:sz w:val="22"/>
              </w:rPr>
              <w:t>+2.8%</w:t>
            </w:r>
          </w:p>
        </w:tc>
        <w:tc>
          <w:tcPr>
            <w:tcW w:type="dxa" w:w="1080"/>
          </w:tcPr>
          <w:p>
            <w:r>
              <w:rPr>
                <w:rFonts w:ascii="Calibri" w:hAnsi="Calibri"/>
                <w:sz w:val="22"/>
              </w:rPr>
              <w:t>$1.824</w:t>
            </w:r>
          </w:p>
        </w:tc>
        <w:tc>
          <w:tcPr>
            <w:tcW w:type="dxa" w:w="1080"/>
          </w:tcPr>
          <w:p>
            <w:r>
              <w:rPr>
                <w:rFonts w:ascii="Calibri" w:hAnsi="Calibri"/>
                <w:sz w:val="22"/>
              </w:rPr>
              <w:t>$1.618</w:t>
            </w:r>
          </w:p>
        </w:tc>
        <w:tc>
          <w:tcPr>
            <w:tcW w:type="dxa" w:w="1080"/>
          </w:tcPr>
          <w:p>
            <w:r>
              <w:rPr>
                <w:rFonts w:ascii="Calibri" w:hAnsi="Calibri"/>
                <w:b/>
                <w:color w:val="30A46C"/>
                <w:sz w:val="22"/>
              </w:rPr>
              <w:t>+12.7%</w:t>
            </w:r>
          </w:p>
        </w:tc>
        <w:tc>
          <w:tcPr>
            <w:tcW w:type="dxa" w:w="1080"/>
          </w:tcPr>
          <w:p>
            <w:r>
              <w:rPr>
                <w:rFonts w:ascii="Calibri" w:hAnsi="Calibri"/>
                <w:b/>
                <w:color w:val="30A46C"/>
                <w:sz w:val="22"/>
              </w:rPr>
              <w:t>Beat</w:t>
            </w:r>
          </w:p>
        </w:tc>
      </w:tr>
      <w:tr>
        <w:tc>
          <w:tcPr>
            <w:tcW w:type="dxa" w:w="1080"/>
          </w:tcPr>
          <w:p>
            <w:r>
              <w:rPr>
                <w:rFonts w:ascii="Calibri" w:hAnsi="Calibri"/>
                <w:sz w:val="22"/>
              </w:rPr>
              <w:t>Q4 FY2025 (Jun 2025)</w:t>
            </w:r>
          </w:p>
        </w:tc>
        <w:tc>
          <w:tcPr>
            <w:tcW w:type="dxa" w:w="1080"/>
          </w:tcPr>
          <w:p>
            <w:r>
              <w:rPr>
                <w:rFonts w:ascii="Calibri" w:hAnsi="Calibri"/>
                <w:sz w:val="22"/>
              </w:rPr>
              <w:t>$2.605</w:t>
            </w:r>
          </w:p>
        </w:tc>
        <w:tc>
          <w:tcPr>
            <w:tcW w:type="dxa" w:w="1080"/>
          </w:tcPr>
          <w:p>
            <w:r>
              <w:rPr>
                <w:rFonts w:ascii="Calibri" w:hAnsi="Calibri"/>
                <w:sz w:val="22"/>
              </w:rPr>
              <w:t>$2.485</w:t>
            </w:r>
          </w:p>
        </w:tc>
        <w:tc>
          <w:tcPr>
            <w:tcW w:type="dxa" w:w="1080"/>
          </w:tcPr>
          <w:p>
            <w:r>
              <w:rPr>
                <w:rFonts w:ascii="Calibri" w:hAnsi="Calibri"/>
                <w:b/>
                <w:color w:val="30A46C"/>
                <w:sz w:val="22"/>
              </w:rPr>
              <w:t>+4.8%</w:t>
            </w:r>
          </w:p>
        </w:tc>
        <w:tc>
          <w:tcPr>
            <w:tcW w:type="dxa" w:w="1080"/>
          </w:tcPr>
          <w:p>
            <w:r>
              <w:rPr>
                <w:rFonts w:ascii="Calibri" w:hAnsi="Calibri"/>
                <w:sz w:val="22"/>
              </w:rPr>
              <w:t>$1.748</w:t>
            </w:r>
          </w:p>
        </w:tc>
        <w:tc>
          <w:tcPr>
            <w:tcW w:type="dxa" w:w="1080"/>
          </w:tcPr>
          <w:p>
            <w:r>
              <w:rPr>
                <w:rFonts w:ascii="Calibri" w:hAnsi="Calibri"/>
                <w:sz w:val="22"/>
              </w:rPr>
              <w:t>$1.534</w:t>
            </w:r>
          </w:p>
        </w:tc>
        <w:tc>
          <w:tcPr>
            <w:tcW w:type="dxa" w:w="1080"/>
          </w:tcPr>
          <w:p>
            <w:r>
              <w:rPr>
                <w:rFonts w:ascii="Calibri" w:hAnsi="Calibri"/>
                <w:b/>
                <w:color w:val="30A46C"/>
                <w:sz w:val="22"/>
              </w:rPr>
              <w:t>+14.0%</w:t>
            </w:r>
          </w:p>
        </w:tc>
        <w:tc>
          <w:tcPr>
            <w:tcW w:type="dxa" w:w="1080"/>
          </w:tcPr>
          <w:p>
            <w:r>
              <w:rPr>
                <w:rFonts w:ascii="Calibri" w:hAnsi="Calibri"/>
                <w:b/>
                <w:color w:val="30A46C"/>
                <w:sz w:val="22"/>
              </w:rPr>
              <w:t>Beat</w:t>
            </w:r>
          </w:p>
        </w:tc>
      </w:tr>
      <w:tr>
        <w:tc>
          <w:tcPr>
            <w:tcW w:type="dxa" w:w="1080"/>
          </w:tcPr>
          <w:p>
            <w:r>
              <w:rPr>
                <w:rFonts w:ascii="Calibri" w:hAnsi="Calibri"/>
                <w:sz w:val="22"/>
              </w:rPr>
              <w:t>Q3 FY2025 (Mar 2025)</w:t>
            </w:r>
          </w:p>
        </w:tc>
        <w:tc>
          <w:tcPr>
            <w:tcW w:type="dxa" w:w="1080"/>
          </w:tcPr>
          <w:p>
            <w:r>
              <w:rPr>
                <w:rFonts w:ascii="Calibri" w:hAnsi="Calibri"/>
                <w:sz w:val="22"/>
              </w:rPr>
              <w:t>$2.294</w:t>
            </w:r>
          </w:p>
        </w:tc>
        <w:tc>
          <w:tcPr>
            <w:tcW w:type="dxa" w:w="1080"/>
          </w:tcPr>
          <w:p>
            <w:r>
              <w:rPr>
                <w:rFonts w:ascii="Calibri" w:hAnsi="Calibri"/>
                <w:sz w:val="22"/>
              </w:rPr>
              <w:t>$2.256</w:t>
            </w:r>
          </w:p>
        </w:tc>
        <w:tc>
          <w:tcPr>
            <w:tcW w:type="dxa" w:w="1080"/>
          </w:tcPr>
          <w:p>
            <w:r>
              <w:rPr>
                <w:rFonts w:ascii="Calibri" w:hAnsi="Calibri"/>
                <w:b/>
                <w:color w:val="30A46C"/>
                <w:sz w:val="22"/>
              </w:rPr>
              <w:t>+1.7%</w:t>
            </w:r>
          </w:p>
        </w:tc>
        <w:tc>
          <w:tcPr>
            <w:tcW w:type="dxa" w:w="1080"/>
          </w:tcPr>
          <w:p>
            <w:r>
              <w:rPr>
                <w:rFonts w:ascii="Calibri" w:hAnsi="Calibri"/>
                <w:sz w:val="22"/>
              </w:rPr>
              <w:t>$1.397</w:t>
            </w:r>
          </w:p>
        </w:tc>
        <w:tc>
          <w:tcPr>
            <w:tcW w:type="dxa" w:w="1080"/>
          </w:tcPr>
          <w:p>
            <w:r>
              <w:rPr>
                <w:rFonts w:ascii="Calibri" w:hAnsi="Calibri"/>
                <w:sz w:val="22"/>
              </w:rPr>
              <w:t>$1.113</w:t>
            </w:r>
          </w:p>
        </w:tc>
        <w:tc>
          <w:tcPr>
            <w:tcW w:type="dxa" w:w="1080"/>
          </w:tcPr>
          <w:p>
            <w:r>
              <w:rPr>
                <w:rFonts w:ascii="Calibri" w:hAnsi="Calibri"/>
                <w:b/>
                <w:color w:val="30A46C"/>
                <w:sz w:val="22"/>
              </w:rPr>
              <w:t>+25.5%</w:t>
            </w:r>
          </w:p>
        </w:tc>
        <w:tc>
          <w:tcPr>
            <w:tcW w:type="dxa" w:w="1080"/>
          </w:tcPr>
          <w:p>
            <w:r>
              <w:rPr>
                <w:rFonts w:ascii="Calibri" w:hAnsi="Calibri"/>
                <w:b/>
                <w:color w:val="30A46C"/>
                <w:sz w:val="22"/>
              </w:rPr>
              <w:t>Beat</w:t>
            </w:r>
          </w:p>
        </w:tc>
      </w:tr>
      <w:tr>
        <w:tc>
          <w:tcPr>
            <w:tcW w:type="dxa" w:w="1080"/>
          </w:tcPr>
          <w:p>
            <w:r>
              <w:rPr>
                <w:rFonts w:ascii="Calibri" w:hAnsi="Calibri"/>
                <w:sz w:val="22"/>
              </w:rPr>
              <w:t>Q2 FY2025 (Dec 2024)</w:t>
            </w:r>
          </w:p>
        </w:tc>
        <w:tc>
          <w:tcPr>
            <w:tcW w:type="dxa" w:w="1080"/>
          </w:tcPr>
          <w:p>
            <w:r>
              <w:rPr>
                <w:rFonts w:ascii="Calibri" w:hAnsi="Calibri"/>
                <w:sz w:val="22"/>
              </w:rPr>
              <w:t>$2.409</w:t>
            </w:r>
          </w:p>
        </w:tc>
        <w:tc>
          <w:tcPr>
            <w:tcW w:type="dxa" w:w="1080"/>
          </w:tcPr>
          <w:p>
            <w:r>
              <w:rPr>
                <w:rFonts w:ascii="Calibri" w:hAnsi="Calibri"/>
                <w:sz w:val="22"/>
              </w:rPr>
              <w:t>$2.256</w:t>
            </w:r>
          </w:p>
        </w:tc>
        <w:tc>
          <w:tcPr>
            <w:tcW w:type="dxa" w:w="1080"/>
          </w:tcPr>
          <w:p>
            <w:r>
              <w:rPr>
                <w:rFonts w:ascii="Calibri" w:hAnsi="Calibri"/>
                <w:b/>
                <w:color w:val="30A46C"/>
                <w:sz w:val="22"/>
              </w:rPr>
              <w:t>+6.8%</w:t>
            </w:r>
          </w:p>
        </w:tc>
        <w:tc>
          <w:tcPr>
            <w:tcW w:type="dxa" w:w="1080"/>
          </w:tcPr>
          <w:p>
            <w:r>
              <w:rPr>
                <w:rFonts w:ascii="Calibri" w:hAnsi="Calibri"/>
                <w:sz w:val="22"/>
              </w:rPr>
              <w:t>$1.207</w:t>
            </w:r>
          </w:p>
        </w:tc>
        <w:tc>
          <w:tcPr>
            <w:tcW w:type="dxa" w:w="1080"/>
          </w:tcPr>
          <w:p>
            <w:r>
              <w:rPr>
                <w:rFonts w:ascii="Calibri" w:hAnsi="Calibri"/>
                <w:sz w:val="22"/>
              </w:rPr>
              <w:t>$1.113</w:t>
            </w:r>
          </w:p>
        </w:tc>
        <w:tc>
          <w:tcPr>
            <w:tcW w:type="dxa" w:w="1080"/>
          </w:tcPr>
          <w:p>
            <w:r>
              <w:rPr>
                <w:rFonts w:ascii="Calibri" w:hAnsi="Calibri"/>
                <w:b/>
                <w:color w:val="30A46C"/>
                <w:sz w:val="22"/>
              </w:rPr>
              <w:t>+8.5%</w:t>
            </w:r>
          </w:p>
        </w:tc>
        <w:tc>
          <w:tcPr>
            <w:tcW w:type="dxa" w:w="1080"/>
          </w:tcPr>
          <w:p>
            <w:r>
              <w:rPr>
                <w:rFonts w:ascii="Calibri" w:hAnsi="Calibri"/>
                <w:b/>
                <w:color w:val="30A46C"/>
                <w:sz w:val="22"/>
              </w:rPr>
              <w:t>Beat</w:t>
            </w:r>
          </w:p>
        </w:tc>
      </w:tr>
      <w:tr>
        <w:tc>
          <w:tcPr>
            <w:tcW w:type="dxa" w:w="1080"/>
          </w:tcPr>
          <w:p>
            <w:r>
              <w:rPr>
                <w:rFonts w:ascii="Calibri" w:hAnsi="Calibri"/>
                <w:sz w:val="22"/>
              </w:rPr>
              <w:t>Q1 FY2025 (Sep 2024)</w:t>
            </w:r>
          </w:p>
        </w:tc>
        <w:tc>
          <w:tcPr>
            <w:tcW w:type="dxa" w:w="1080"/>
          </w:tcPr>
          <w:p>
            <w:r>
              <w:rPr>
                <w:rFonts w:ascii="Calibri" w:hAnsi="Calibri"/>
                <w:sz w:val="22"/>
              </w:rPr>
              <w:t>$2.212</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$0.766</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Q4 FY2024 (Jun 2024)</w:t>
            </w:r>
          </w:p>
        </w:tc>
        <w:tc>
          <w:tcPr>
            <w:tcW w:type="dxa" w:w="1080"/>
          </w:tcPr>
          <w:p>
            <w:r>
              <w:rPr>
                <w:rFonts w:ascii="Calibri" w:hAnsi="Calibri"/>
                <w:sz w:val="22"/>
              </w:rPr>
              <w:t>$2.004</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$0.429</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WDC has beaten consensus on both revenue and EPS in every quarter where consensus data is available over the past six quarters, with EPS beats averaging ~14% — a remarkably consistent pattern driven by gross margin outperformance and operating leverage. The bar for Q4 FY2026 is higher than prior quarters given consensus already sits above guidance midpoints.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No post-earnings guidance revisions have been issued since the April 30 Q3 FY2026 earnings call — the Q4 guide stands as originally stated. Management's tone was the most confident in the company's history, with gross margins crossing 50% and LTAs extending to 2029; the only notable post-earnings development was the June 11 SanDisk share exchange 8-K, which was balance-sheet positive but did not alter operating guidance.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(Q3 FY2026 Earnings Call, Apr 30,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Revenue</w:t>
            </w:r>
          </w:p>
        </w:tc>
        <w:tc>
          <w:tcPr>
            <w:tcW w:type="dxa" w:w="1728"/>
          </w:tcPr>
          <w:p>
            <w:r>
              <w:rPr>
                <w:rFonts w:ascii="Calibri" w:hAnsi="Calibri"/>
                <w:sz w:val="22"/>
              </w:rPr>
              <w:t>$3.65B ± $100M</w:t>
            </w:r>
          </w:p>
        </w:tc>
        <w:tc>
          <w:tcPr>
            <w:tcW w:type="dxa" w:w="1728"/>
          </w:tcPr>
          <w:p>
            <w:r>
              <w:rPr>
                <w:rFonts w:ascii="Calibri" w:hAnsi="Calibri"/>
                <w:sz w:val="22"/>
              </w:rPr>
              <w:t>—</w:t>
            </w:r>
          </w:p>
        </w:tc>
        <w:tc>
          <w:tcPr>
            <w:tcW w:type="dxa" w:w="1728"/>
          </w:tcPr>
          <w:p>
            <w:r>
              <w:rPr>
                <w:rFonts w:ascii="Calibri" w:hAnsi="Calibri"/>
                <w:sz w:val="22"/>
              </w:rPr>
              <w:t>$3.714B</w:t>
            </w:r>
          </w:p>
        </w:tc>
        <w:tc>
          <w:tcPr>
            <w:tcW w:type="dxa" w:w="1728"/>
          </w:tcPr>
          <w:p>
            <w:r>
              <w:rPr>
                <w:rFonts w:ascii="Calibri" w:hAnsi="Calibri"/>
                <w:sz w:val="22"/>
              </w:rPr>
              <w:t>Unchanged; consensus +1.7% above midpoint</w:t>
            </w:r>
          </w:p>
        </w:tc>
      </w:tr>
      <w:tr>
        <w:tc>
          <w:tcPr>
            <w:tcW w:type="dxa" w:w="1728"/>
          </w:tcPr>
          <w:p>
            <w:r>
              <w:rPr>
                <w:rFonts w:ascii="Calibri" w:hAnsi="Calibri"/>
                <w:sz w:val="22"/>
              </w:rPr>
              <w:t>Non-GAAP Gross Margin</w:t>
            </w:r>
          </w:p>
        </w:tc>
        <w:tc>
          <w:tcPr>
            <w:tcW w:type="dxa" w:w="1728"/>
          </w:tcPr>
          <w:p>
            <w:r>
              <w:rPr>
                <w:rFonts w:ascii="Calibri" w:hAnsi="Calibri"/>
                <w:sz w:val="22"/>
              </w:rPr>
              <w:t>51% – 52%</w:t>
            </w:r>
          </w:p>
        </w:tc>
        <w:tc>
          <w:tcPr>
            <w:tcW w:type="dxa" w:w="1728"/>
          </w:tcPr>
          <w:p>
            <w:r>
              <w:rPr>
                <w:rFonts w:ascii="Calibri" w:hAnsi="Calibri"/>
                <w:sz w:val="22"/>
              </w:rPr>
              <w:t>—</w:t>
            </w:r>
          </w:p>
        </w:tc>
        <w:tc>
          <w:tcPr>
            <w:tcW w:type="dxa" w:w="1728"/>
          </w:tcPr>
          <w:p>
            <w:r>
              <w:rPr>
                <w:rFonts w:ascii="Calibri" w:hAnsi="Calibri"/>
                <w:sz w:val="22"/>
              </w:rPr>
              <w:t>~51.9% (implied)</w:t>
            </w:r>
          </w:p>
        </w:tc>
        <w:tc>
          <w:tcPr>
            <w:tcW w:type="dxa" w:w="1728"/>
          </w:tcPr>
          <w:p>
            <w:r>
              <w:rPr>
                <w:rFonts w:ascii="Calibri" w:hAnsi="Calibri"/>
                <w:sz w:val="22"/>
              </w:rPr>
              <w:t>Unchanged; consensus near high end of range</w:t>
            </w:r>
          </w:p>
        </w:tc>
      </w:tr>
      <w:tr>
        <w:tc>
          <w:tcPr>
            <w:tcW w:type="dxa" w:w="1728"/>
          </w:tcPr>
          <w:p>
            <w:r>
              <w:rPr>
                <w:rFonts w:ascii="Calibri" w:hAnsi="Calibri"/>
                <w:sz w:val="22"/>
              </w:rPr>
              <w:t>Non-GAAP Operating Expenses</w:t>
            </w:r>
          </w:p>
        </w:tc>
        <w:tc>
          <w:tcPr>
            <w:tcW w:type="dxa" w:w="1728"/>
          </w:tcPr>
          <w:p>
            <w:r>
              <w:rPr>
                <w:rFonts w:ascii="Calibri" w:hAnsi="Calibri"/>
                <w:sz w:val="22"/>
              </w:rPr>
              <w:t>$385M – $395M</w:t>
            </w:r>
          </w:p>
        </w:tc>
        <w:tc>
          <w:tcPr>
            <w:tcW w:type="dxa" w:w="1728"/>
          </w:tcPr>
          <w:p>
            <w:r>
              <w:rPr>
                <w:rFonts w:ascii="Calibri" w:hAnsi="Calibri"/>
                <w:sz w:val="22"/>
              </w:rPr>
              <w:t>—</w:t>
            </w:r>
          </w:p>
        </w:tc>
        <w:tc>
          <w:tcPr>
            <w:tcW w:type="dxa" w:w="1728"/>
          </w:tcPr>
          <w:p>
            <w:r>
              <w:rPr>
                <w:rFonts w:ascii="Calibri" w:hAnsi="Calibri"/>
                <w:sz w:val="22"/>
              </w:rPr>
              <w:t>~$390M (midpoint)</w:t>
            </w:r>
          </w:p>
        </w:tc>
        <w:tc>
          <w:tcPr>
            <w:tcW w:type="dxa" w:w="1728"/>
          </w:tcPr>
          <w:p>
            <w:r>
              <w:rPr>
                <w:rFonts w:ascii="Calibri" w:hAnsi="Calibri"/>
                <w:sz w:val="22"/>
              </w:rPr>
              <w:t>Unchanged; consensus at midpoint</w:t>
            </w:r>
          </w:p>
        </w:tc>
      </w:tr>
      <w:tr>
        <w:tc>
          <w:tcPr>
            <w:tcW w:type="dxa" w:w="1728"/>
          </w:tcPr>
          <w:p>
            <w:r>
              <w:rPr>
                <w:rFonts w:ascii="Calibri" w:hAnsi="Calibri"/>
                <w:sz w:val="22"/>
              </w:rPr>
              <w:t>Non-GAAP EPS — Diluted</w:t>
            </w:r>
          </w:p>
        </w:tc>
        <w:tc>
          <w:tcPr>
            <w:tcW w:type="dxa" w:w="1728"/>
          </w:tcPr>
          <w:p>
            <w:r>
              <w:rPr>
                <w:rFonts w:ascii="Calibri" w:hAnsi="Calibri"/>
                <w:sz w:val="22"/>
              </w:rPr>
              <w:t>$3.25 ± $0.15</w:t>
            </w:r>
          </w:p>
        </w:tc>
        <w:tc>
          <w:tcPr>
            <w:tcW w:type="dxa" w:w="1728"/>
          </w:tcPr>
          <w:p>
            <w:r>
              <w:rPr>
                <w:rFonts w:ascii="Calibri" w:hAnsi="Calibri"/>
                <w:sz w:val="22"/>
              </w:rPr>
              <w:t>—</w:t>
            </w:r>
          </w:p>
        </w:tc>
        <w:tc>
          <w:tcPr>
            <w:tcW w:type="dxa" w:w="1728"/>
          </w:tcPr>
          <w:p>
            <w:r>
              <w:rPr>
                <w:rFonts w:ascii="Calibri" w:hAnsi="Calibri"/>
                <w:sz w:val="22"/>
              </w:rPr>
              <w:t>$3.350</w:t>
            </w:r>
          </w:p>
        </w:tc>
        <w:tc>
          <w:tcPr>
            <w:tcW w:type="dxa" w:w="1728"/>
          </w:tcPr>
          <w:p>
            <w:r>
              <w:rPr>
                <w:rFonts w:ascii="Calibri" w:hAnsi="Calibri"/>
                <w:sz w:val="22"/>
              </w:rPr>
              <w:t>Unchanged; consensus +3.1% above midpoint</w:t>
            </w:r>
          </w:p>
        </w:tc>
      </w:tr>
      <w:tr>
        <w:tc>
          <w:tcPr>
            <w:tcW w:type="dxa" w:w="1728"/>
          </w:tcPr>
          <w:p>
            <w:r>
              <w:rPr>
                <w:rFonts w:ascii="Calibri" w:hAnsi="Calibri"/>
                <w:sz w:val="22"/>
              </w:rPr>
              <w:t>Interest &amp; Other Expense</w:t>
            </w:r>
          </w:p>
        </w:tc>
        <w:tc>
          <w:tcPr>
            <w:tcW w:type="dxa" w:w="1728"/>
          </w:tcPr>
          <w:p>
            <w:r>
              <w:rPr>
                <w:rFonts w:ascii="Calibri" w:hAnsi="Calibri"/>
                <w:sz w:val="22"/>
              </w:rPr>
              <w:t>~$10M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balance sheet improved post-SanDisk exchange</w:t>
            </w:r>
          </w:p>
        </w:tc>
      </w:tr>
      <w:tr>
        <w:tc>
          <w:tcPr>
            <w:tcW w:type="dxa" w:w="1728"/>
          </w:tcPr>
          <w:p>
            <w:r>
              <w:rPr>
                <w:rFonts w:ascii="Calibri" w:hAnsi="Calibri"/>
                <w:sz w:val="22"/>
              </w:rPr>
              <w:t>Tax Rate</w:t>
            </w:r>
          </w:p>
        </w:tc>
        <w:tc>
          <w:tcPr>
            <w:tcW w:type="dxa" w:w="1728"/>
          </w:tcPr>
          <w:p>
            <w:r>
              <w:rPr>
                <w:rFonts w:ascii="Calibri" w:hAnsi="Calibri"/>
                <w:sz w:val="22"/>
              </w:rPr>
              <w:t>~16%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Diluted Share Count (Non-GAAP)</w:t>
            </w:r>
          </w:p>
        </w:tc>
        <w:tc>
          <w:tcPr>
            <w:tcW w:type="dxa" w:w="1728"/>
          </w:tcPr>
          <w:p>
            <w:r>
              <w:rPr>
                <w:rFonts w:ascii="Calibri" w:hAnsi="Calibri"/>
                <w:sz w:val="22"/>
              </w:rPr>
              <w:t>~385M shares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SanDisk exchange (Jun 22) reduced share count slightly</w:t>
            </w:r>
          </w:p>
        </w:tc>
      </w:tr>
    </w:tbl>
    <w:p>
      <w:r>
        <w:rPr>
          <w:rFonts w:ascii="Calibri" w:hAnsi="Calibri"/>
          <w:b/>
          <w:color w:val="525866"/>
          <w:sz w:val="22"/>
        </w:rPr>
        <w:t xml:space="preserve">Management Tone Summary: </w:t>
      </w:r>
      <w:r>
        <w:rPr>
          <w:rFonts w:ascii="Calibri" w:hAnsi="Calibri"/>
          <w:color w:val="525866"/>
          <w:sz w:val="22"/>
        </w:rPr>
        <w:t>CEO Irving Tan characterized Q3 as "great execution" and described WDC as "well positioned with business momentum building across our entire portfolio with greater visibility into long-term customer demand." CFO Kris Sennesael stated the team is "encouraged by our momentum and remain confident in our ability to deliver sustainable revenue growth, expand gross and operating margins and create long-term value." The Board's 20% dividend increase to $0.15/share (approved at Q3 earnings) is the clearest signal of management confidence. No post-earnings events have altered the operating outlook.</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moved modestly higher since the April 30 post-print baseline, with FY2026 EPS up ~0.2% and FY2027 EPS up ~4.5% — suggesting the Street has been gradually upgrading the long-term earnings power thesis while leaving near-term Q4 estimates largely anchored to guidance. The gap between consensus and guidance midpoints on Q4 revenue (+1.7%) and EPS (+3.1%) represents a modest cushion, not a stretched bar.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Q3 Earnings (as of May 5,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(Q3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Q4 FY2026</w:t>
            </w:r>
          </w:p>
        </w:tc>
        <w:tc>
          <w:tcPr>
            <w:tcW w:type="dxa" w:w="1080"/>
          </w:tcPr>
          <w:p>
            <w:r>
              <w:rPr>
                <w:rFonts w:ascii="Calibri" w:hAnsi="Calibri"/>
                <w:sz w:val="22"/>
              </w:rPr>
              <w:t>$3.696B</w:t>
            </w:r>
          </w:p>
        </w:tc>
        <w:tc>
          <w:tcPr>
            <w:tcW w:type="dxa" w:w="1080"/>
          </w:tcPr>
          <w:p>
            <w:r>
              <w:rPr>
                <w:rFonts w:ascii="Calibri" w:hAnsi="Calibri"/>
                <w:sz w:val="22"/>
              </w:rPr>
              <w:t>$3.714B</w:t>
            </w:r>
          </w:p>
        </w:tc>
        <w:tc>
          <w:tcPr>
            <w:tcW w:type="dxa" w:w="1080"/>
          </w:tcPr>
          <w:p>
            <w:r>
              <w:rPr>
                <w:rFonts w:ascii="Calibri" w:hAnsi="Calibri"/>
                <w:b/>
                <w:color w:val="30A46C"/>
                <w:sz w:val="22"/>
              </w:rPr>
              <w:t>+0.5%</w:t>
            </w:r>
          </w:p>
        </w:tc>
        <w:tc>
          <w:tcPr>
            <w:tcW w:type="dxa" w:w="1080"/>
          </w:tcPr>
          <w:p>
            <w:r>
              <w:rPr>
                <w:rFonts w:ascii="Calibri" w:hAnsi="Calibri"/>
                <w:sz w:val="22"/>
              </w:rPr>
              <w:t>$3.65B ± $100M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+1.7% vs. midpoint</w:t>
            </w:r>
          </w:p>
        </w:tc>
      </w:tr>
      <w:tr>
        <w:tc>
          <w:tcPr>
            <w:tcW w:type="dxa" w:w="1080"/>
          </w:tcPr>
          <w:p>
            <w:r>
              <w:rPr>
                <w:rFonts w:ascii="Calibri" w:hAnsi="Calibri"/>
                <w:sz w:val="22"/>
              </w:rPr>
              <w:t>Revenue — FY2026</w:t>
            </w:r>
          </w:p>
        </w:tc>
        <w:tc>
          <w:tcPr>
            <w:tcW w:type="dxa" w:w="1080"/>
          </w:tcPr>
          <w:p>
            <w:r>
              <w:rPr>
                <w:rFonts w:ascii="Calibri" w:hAnsi="Calibri"/>
                <w:sz w:val="22"/>
              </w:rPr>
              <w:t>$12.868B</w:t>
            </w:r>
          </w:p>
        </w:tc>
        <w:tc>
          <w:tcPr>
            <w:tcW w:type="dxa" w:w="1080"/>
          </w:tcPr>
          <w:p>
            <w:r>
              <w:rPr>
                <w:rFonts w:ascii="Calibri" w:hAnsi="Calibri"/>
                <w:sz w:val="22"/>
              </w:rPr>
              <w:t>$12.886B</w:t>
            </w:r>
          </w:p>
        </w:tc>
        <w:tc>
          <w:tcPr>
            <w:tcW w:type="dxa" w:w="1080"/>
          </w:tcPr>
          <w:p>
            <w:r>
              <w:rPr>
                <w:rFonts w:ascii="Calibri" w:hAnsi="Calibri"/>
                <w:sz w:val="22"/>
              </w:rPr>
              <w:t>+0.1%</w:t>
            </w:r>
          </w:p>
        </w:tc>
        <w:tc>
          <w:tcPr>
            <w:tcW w:type="dxa" w:w="1080"/>
          </w:tcPr>
          <w:p>
            <w:r>
              <w:rPr>
                <w:rFonts w:ascii="Calibri" w:hAnsi="Calibri"/>
                <w:sz w:val="22"/>
              </w:rPr>
              <w:t>N/A (FY guidance not provided)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FY2027</w:t>
            </w:r>
          </w:p>
        </w:tc>
        <w:tc>
          <w:tcPr>
            <w:tcW w:type="dxa" w:w="1080"/>
          </w:tcPr>
          <w:p>
            <w:r>
              <w:rPr>
                <w:rFonts w:ascii="Calibri" w:hAnsi="Calibri"/>
                <w:sz w:val="22"/>
              </w:rPr>
              <w:t>$17.726B</w:t>
            </w:r>
          </w:p>
        </w:tc>
        <w:tc>
          <w:tcPr>
            <w:tcW w:type="dxa" w:w="1080"/>
          </w:tcPr>
          <w:p>
            <w:r>
              <w:rPr>
                <w:rFonts w:ascii="Calibri" w:hAnsi="Calibri"/>
                <w:sz w:val="22"/>
              </w:rPr>
              <w:t>$18.432B</w:t>
            </w:r>
          </w:p>
        </w:tc>
        <w:tc>
          <w:tcPr>
            <w:tcW w:type="dxa" w:w="1080"/>
          </w:tcPr>
          <w:p>
            <w:r>
              <w:rPr>
                <w:rFonts w:ascii="Calibri" w:hAnsi="Calibri"/>
                <w:b/>
                <w:color w:val="30A46C"/>
                <w:sz w:val="22"/>
              </w:rPr>
              <w:t>+4.0%</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Non-GAAP EPS — Q4 FY2026</w:t>
            </w:r>
          </w:p>
        </w:tc>
        <w:tc>
          <w:tcPr>
            <w:tcW w:type="dxa" w:w="1080"/>
          </w:tcPr>
          <w:p>
            <w:r>
              <w:rPr>
                <w:rFonts w:ascii="Calibri" w:hAnsi="Calibri"/>
                <w:sz w:val="22"/>
              </w:rPr>
              <w:t>$3.314</w:t>
            </w:r>
          </w:p>
        </w:tc>
        <w:tc>
          <w:tcPr>
            <w:tcW w:type="dxa" w:w="1080"/>
          </w:tcPr>
          <w:p>
            <w:r>
              <w:rPr>
                <w:rFonts w:ascii="Calibri" w:hAnsi="Calibri"/>
                <w:sz w:val="22"/>
              </w:rPr>
              <w:t>$3.350</w:t>
            </w:r>
          </w:p>
        </w:tc>
        <w:tc>
          <w:tcPr>
            <w:tcW w:type="dxa" w:w="1080"/>
          </w:tcPr>
          <w:p>
            <w:r>
              <w:rPr>
                <w:rFonts w:ascii="Calibri" w:hAnsi="Calibri"/>
                <w:b/>
                <w:color w:val="30A46C"/>
                <w:sz w:val="22"/>
              </w:rPr>
              <w:t>+1.1%</w:t>
            </w:r>
          </w:p>
        </w:tc>
        <w:tc>
          <w:tcPr>
            <w:tcW w:type="dxa" w:w="1080"/>
          </w:tcPr>
          <w:p>
            <w:r>
              <w:rPr>
                <w:rFonts w:ascii="Calibri" w:hAnsi="Calibri"/>
                <w:sz w:val="22"/>
              </w:rPr>
              <w:t>$3.25 ± $0.15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+3.1% vs. midpoint</w:t>
            </w:r>
          </w:p>
        </w:tc>
      </w:tr>
      <w:tr>
        <w:tc>
          <w:tcPr>
            <w:tcW w:type="dxa" w:w="1080"/>
          </w:tcPr>
          <w:p>
            <w:r>
              <w:rPr>
                <w:rFonts w:ascii="Calibri" w:hAnsi="Calibri"/>
                <w:sz w:val="22"/>
              </w:rPr>
              <w:t>Non-GAAP EPS — FY2026</w:t>
            </w:r>
          </w:p>
        </w:tc>
        <w:tc>
          <w:tcPr>
            <w:tcW w:type="dxa" w:w="1080"/>
          </w:tcPr>
          <w:p>
            <w:r>
              <w:rPr>
                <w:rFonts w:ascii="Calibri" w:hAnsi="Calibri"/>
                <w:sz w:val="22"/>
              </w:rPr>
              <w:t>$10.045</w:t>
            </w:r>
          </w:p>
        </w:tc>
        <w:tc>
          <w:tcPr>
            <w:tcW w:type="dxa" w:w="1080"/>
          </w:tcPr>
          <w:p>
            <w:r>
              <w:rPr>
                <w:rFonts w:ascii="Calibri" w:hAnsi="Calibri"/>
                <w:sz w:val="22"/>
              </w:rPr>
              <w:t>$10.071</w:t>
            </w:r>
          </w:p>
        </w:tc>
        <w:tc>
          <w:tcPr>
            <w:tcW w:type="dxa" w:w="1080"/>
          </w:tcPr>
          <w:p>
            <w:r>
              <w:rPr>
                <w:rFonts w:ascii="Calibri" w:hAnsi="Calibri"/>
                <w:sz w:val="22"/>
              </w:rPr>
              <w:t>+0.3%</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Non-GAAP EPS — FY2027</w:t>
            </w:r>
          </w:p>
        </w:tc>
        <w:tc>
          <w:tcPr>
            <w:tcW w:type="dxa" w:w="1080"/>
          </w:tcPr>
          <w:p>
            <w:r>
              <w:rPr>
                <w:rFonts w:ascii="Calibri" w:hAnsi="Calibri"/>
                <w:sz w:val="22"/>
              </w:rPr>
              <w:t>$17.994</w:t>
            </w:r>
          </w:p>
        </w:tc>
        <w:tc>
          <w:tcPr>
            <w:tcW w:type="dxa" w:w="1080"/>
          </w:tcPr>
          <w:p>
            <w:r>
              <w:rPr>
                <w:rFonts w:ascii="Calibri" w:hAnsi="Calibri"/>
                <w:sz w:val="22"/>
              </w:rPr>
              <w:t>$18.809</w:t>
            </w:r>
          </w:p>
        </w:tc>
        <w:tc>
          <w:tcPr>
            <w:tcW w:type="dxa" w:w="1080"/>
          </w:tcPr>
          <w:p>
            <w:r>
              <w:rPr>
                <w:rFonts w:ascii="Calibri" w:hAnsi="Calibri"/>
                <w:b/>
                <w:color w:val="30A46C"/>
                <w:sz w:val="22"/>
              </w:rPr>
              <w:t>+4.5%</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HDD Exabytes — Q4 FY2026</w:t>
            </w:r>
          </w:p>
        </w:tc>
        <w:tc>
          <w:tcPr>
            <w:tcW w:type="dxa" w:w="1080"/>
          </w:tcPr>
          <w:p>
            <w:r>
              <w:rPr>
                <w:rFonts w:ascii="Calibri" w:hAnsi="Calibri"/>
                <w:sz w:val="22"/>
              </w:rPr>
              <w:t>241.4 EB</w:t>
            </w:r>
          </w:p>
        </w:tc>
        <w:tc>
          <w:tcPr>
            <w:tcW w:type="dxa" w:w="1080"/>
          </w:tcPr>
          <w:p>
            <w:r>
              <w:rPr>
                <w:rFonts w:ascii="Calibri" w:hAnsi="Calibri"/>
                <w:sz w:val="22"/>
              </w:rPr>
              <w:t>242.3 EB</w:t>
            </w:r>
          </w:p>
        </w:tc>
        <w:tc>
          <w:tcPr>
            <w:tcW w:type="dxa" w:w="1080"/>
          </w:tcPr>
          <w:p>
            <w:r>
              <w:rPr>
                <w:rFonts w:ascii="Calibri" w:hAnsi="Calibri"/>
                <w:sz w:val="22"/>
              </w:rPr>
              <w:t>+0.4%</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Source: Visible Alpha consensus and actuals data. Post-earnings baseline uses as-of date May 5, 2026 (5 trading days after April 30 earnings). FY2026 = VA fiscal period FY-2026 (year ending June 2026); FY2027 = VA fiscal period FY-2027 (year ending June 2027).</w:t>
      </w:r>
    </w:p>
    <w:p>
      <w:r>
        <w:rPr>
          <w:rFonts w:ascii="Calibri" w:hAnsi="Calibri"/>
          <w:color w:val="525866"/>
          <w:sz w:val="22"/>
        </w:rPr>
        <w:t>The most notable revision trend is in FY2027 estimates, where both revenue (+4.0%) and EPS (+4.5%) have been meaningfully upgraded since the Q3 print — reflecting the Street's growing conviction in the multi-year earnings power thesis driven by HAMR ramp, UltraSMR adoption, and sustained hyperscaler demand. Near-term Q4 estimates have barely moved, consistent with the guidance being the anchor.</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WDC has outperformed both XLK (+17.2%) and the S&amp;P 500 (+7.3%) since the April 30 earnings date, returning +26.2% on an indexed basis — but the path was extremely volatile, with the stock peaking at $746 on June 18 (+71.7% from earnings) before a sharp reversal to ~$549 today, driven by sentiment and profit-taking rather than any fundamental deterioration.</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WDC vs. XLK (Tech ETF) vs. S&amp;P 500 (SPY) — Indexed to 100 at Q3 FY2026 Earnings (Apr 30, 2026). Source: Stock Price Data.</w:t>
      </w:r>
    </w:p>
    <w:p>
      <w:r>
        <w:rPr>
          <w:rFonts w:ascii="Calibri" w:hAnsi="Calibri"/>
          <w:b/>
          <w:color w:val="525866"/>
          <w:sz w:val="22"/>
        </w:rPr>
        <w:t>Performance Summary (Apr 30 – Aug 4,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WDC</w:t>
            </w:r>
          </w:p>
        </w:tc>
        <w:tc>
          <w:tcPr>
            <w:tcW w:type="dxa" w:w="2160"/>
            <w:shd w:val="clear" w:color="auto" w:fill="3B4259"/>
          </w:tcPr>
          <w:p>
            <w:r>
              <w:rPr>
                <w:rFonts w:ascii="Calibri" w:hAnsi="Calibri"/>
                <w:b/>
                <w:color w:val="FFFFFF"/>
                <w:sz w:val="22"/>
              </w:rPr>
              <w:t>XLK (Tech ETF)</w:t>
            </w:r>
          </w:p>
        </w:tc>
        <w:tc>
          <w:tcPr>
            <w:tcW w:type="dxa" w:w="2160"/>
            <w:shd w:val="clear" w:color="auto" w:fill="3B4259"/>
          </w:tcPr>
          <w:p>
            <w:r>
              <w:rPr>
                <w:rFonts w:ascii="Calibri" w:hAnsi="Calibri"/>
                <w:b/>
                <w:color w:val="FFFFFF"/>
                <w:sz w:val="22"/>
              </w:rPr>
              <w:t>SPY (S&amp;P 500)</w:t>
            </w:r>
          </w:p>
        </w:tc>
      </w:tr>
      <w:tr>
        <w:tc>
          <w:tcPr>
            <w:tcW w:type="dxa" w:w="2160"/>
          </w:tcPr>
          <w:p>
            <w:r>
              <w:rPr>
                <w:rFonts w:ascii="Calibri" w:hAnsi="Calibri"/>
                <w:sz w:val="22"/>
              </w:rPr>
              <w:t>Price at Earnings (Apr 30)</w:t>
            </w:r>
          </w:p>
        </w:tc>
        <w:tc>
          <w:tcPr>
            <w:tcW w:type="dxa" w:w="2160"/>
          </w:tcPr>
          <w:p>
            <w:r>
              <w:rPr>
                <w:rFonts w:ascii="Calibri" w:hAnsi="Calibri"/>
                <w:sz w:val="22"/>
              </w:rPr>
              <w:t>$434.52</w:t>
            </w:r>
          </w:p>
        </w:tc>
        <w:tc>
          <w:tcPr>
            <w:tcW w:type="dxa" w:w="2160"/>
          </w:tcPr>
          <w:p>
            <w:r>
              <w:rPr>
                <w:rFonts w:ascii="Calibri" w:hAnsi="Calibri"/>
                <w:sz w:val="22"/>
              </w:rPr>
              <w:t>$159.50</w:t>
            </w:r>
          </w:p>
        </w:tc>
        <w:tc>
          <w:tcPr>
            <w:tcW w:type="dxa" w:w="2160"/>
          </w:tcPr>
          <w:p>
            <w:r>
              <w:rPr>
                <w:rFonts w:ascii="Calibri" w:hAnsi="Calibri"/>
                <w:sz w:val="22"/>
              </w:rPr>
              <w:t>$718.66</w:t>
            </w:r>
          </w:p>
        </w:tc>
      </w:tr>
      <w:tr>
        <w:tc>
          <w:tcPr>
            <w:tcW w:type="dxa" w:w="2160"/>
          </w:tcPr>
          <w:p>
            <w:r>
              <w:rPr>
                <w:rFonts w:ascii="Calibri" w:hAnsi="Calibri"/>
                <w:sz w:val="22"/>
              </w:rPr>
              <w:t>Price Today (Aug 4)</w:t>
            </w:r>
          </w:p>
        </w:tc>
        <w:tc>
          <w:tcPr>
            <w:tcW w:type="dxa" w:w="2160"/>
          </w:tcPr>
          <w:p>
            <w:r>
              <w:rPr>
                <w:rFonts w:ascii="Calibri" w:hAnsi="Calibri"/>
                <w:sz w:val="22"/>
              </w:rPr>
              <w:t>$548.56</w:t>
            </w:r>
          </w:p>
        </w:tc>
        <w:tc>
          <w:tcPr>
            <w:tcW w:type="dxa" w:w="2160"/>
          </w:tcPr>
          <w:p>
            <w:r>
              <w:rPr>
                <w:rFonts w:ascii="Calibri" w:hAnsi="Calibri"/>
                <w:sz w:val="22"/>
              </w:rPr>
              <w:t>$186.90</w:t>
            </w:r>
          </w:p>
        </w:tc>
        <w:tc>
          <w:tcPr>
            <w:tcW w:type="dxa" w:w="2160"/>
          </w:tcPr>
          <w:p>
            <w:r>
              <w:rPr>
                <w:rFonts w:ascii="Calibri" w:hAnsi="Calibri"/>
                <w:sz w:val="22"/>
              </w:rPr>
              <w:t>$771.33</w:t>
            </w:r>
          </w:p>
        </w:tc>
      </w:tr>
      <w:tr>
        <w:tc>
          <w:tcPr>
            <w:tcW w:type="dxa" w:w="2160"/>
          </w:tcPr>
          <w:p>
            <w:r>
              <w:rPr>
                <w:rFonts w:ascii="Calibri" w:hAnsi="Calibri"/>
                <w:sz w:val="22"/>
              </w:rPr>
              <w:t>Return Since Earnings</w:t>
            </w:r>
          </w:p>
        </w:tc>
        <w:tc>
          <w:tcPr>
            <w:tcW w:type="dxa" w:w="2160"/>
          </w:tcPr>
          <w:p>
            <w:r>
              <w:rPr>
                <w:rFonts w:ascii="Calibri" w:hAnsi="Calibri"/>
                <w:b/>
                <w:color w:val="30A46C"/>
                <w:sz w:val="22"/>
              </w:rPr>
              <w:t>+26.2%</w:t>
            </w:r>
          </w:p>
        </w:tc>
        <w:tc>
          <w:tcPr>
            <w:tcW w:type="dxa" w:w="2160"/>
          </w:tcPr>
          <w:p>
            <w:r>
              <w:rPr>
                <w:rFonts w:ascii="Calibri" w:hAnsi="Calibri"/>
                <w:sz w:val="22"/>
              </w:rPr>
              <w:t>+17.2%</w:t>
            </w:r>
          </w:p>
        </w:tc>
        <w:tc>
          <w:tcPr>
            <w:tcW w:type="dxa" w:w="2160"/>
          </w:tcPr>
          <w:p>
            <w:r>
              <w:rPr>
                <w:rFonts w:ascii="Calibri" w:hAnsi="Calibri"/>
                <w:sz w:val="22"/>
              </w:rPr>
              <w:t>+7.3%</w:t>
            </w:r>
          </w:p>
        </w:tc>
      </w:tr>
      <w:tr>
        <w:tc>
          <w:tcPr>
            <w:tcW w:type="dxa" w:w="2160"/>
          </w:tcPr>
          <w:p>
            <w:r>
              <w:rPr>
                <w:rFonts w:ascii="Calibri" w:hAnsi="Calibri"/>
                <w:sz w:val="22"/>
              </w:rPr>
              <w:t>Peak Price (Date)</w:t>
            </w:r>
          </w:p>
        </w:tc>
        <w:tc>
          <w:tcPr>
            <w:tcW w:type="dxa" w:w="2160"/>
          </w:tcPr>
          <w:p>
            <w:r>
              <w:rPr>
                <w:rFonts w:ascii="Calibri" w:hAnsi="Calibri"/>
                <w:sz w:val="22"/>
              </w:rPr>
              <w:t>$746.23 (Jun 18)</w:t>
            </w:r>
          </w:p>
        </w:tc>
        <w:tc>
          <w:tcPr>
            <w:tcW w:type="dxa" w:w="2160"/>
          </w:tcPr>
          <w:p>
            <w:r>
              <w:rPr>
                <w:rFonts w:ascii="Calibri" w:hAnsi="Calibri"/>
                <w:sz w:val="22"/>
              </w:rPr>
              <w:t>N/A</w:t>
            </w:r>
          </w:p>
        </w:tc>
        <w:tc>
          <w:tcPr>
            <w:tcW w:type="dxa" w:w="2160"/>
          </w:tcPr>
          <w:p>
            <w:r>
              <w:rPr>
                <w:rFonts w:ascii="Calibri" w:hAnsi="Calibri"/>
                <w:sz w:val="22"/>
              </w:rPr>
              <w:t>N/A</w:t>
            </w:r>
          </w:p>
        </w:tc>
      </w:tr>
      <w:tr>
        <w:tc>
          <w:tcPr>
            <w:tcW w:type="dxa" w:w="2160"/>
          </w:tcPr>
          <w:p>
            <w:r>
              <w:rPr>
                <w:rFonts w:ascii="Calibri" w:hAnsi="Calibri"/>
                <w:sz w:val="22"/>
              </w:rPr>
              <w:t>Peak-to-Current Drawdown</w:t>
            </w:r>
          </w:p>
        </w:tc>
        <w:tc>
          <w:tcPr>
            <w:tcW w:type="dxa" w:w="2160"/>
          </w:tcPr>
          <w:p>
            <w:r>
              <w:rPr>
                <w:rFonts w:ascii="Calibri" w:hAnsi="Calibri"/>
                <w:b/>
                <w:color w:val="E5484D"/>
                <w:sz w:val="22"/>
              </w:rPr>
              <w:t>-26.5%</w:t>
            </w:r>
          </w:p>
        </w:tc>
        <w:tc>
          <w:tcPr>
            <w:tcW w:type="dxa" w:w="2160"/>
          </w:tcPr>
          <w:p>
            <w:r>
              <w:rPr>
                <w:rFonts w:ascii="Calibri" w:hAnsi="Calibri"/>
                <w:sz w:val="22"/>
              </w:rPr>
              <w:t>N/A</w:t>
            </w:r>
          </w:p>
        </w:tc>
        <w:tc>
          <w:tcPr>
            <w:tcW w:type="dxa" w:w="2160"/>
          </w:tcPr>
          <w:p>
            <w:r>
              <w:rPr>
                <w:rFonts w:ascii="Calibri" w:hAnsi="Calibri"/>
                <w:sz w:val="22"/>
              </w:rPr>
              <w:t>N/A</w:t>
            </w:r>
          </w:p>
        </w:tc>
      </w:tr>
    </w:tbl>
    <w:p>
      <w:r>
        <w:rPr>
          <w:rFonts w:ascii="Calibri" w:hAnsi="Calibri"/>
          <w:b/>
          <w:color w:val="525866"/>
          <w:sz w:val="22"/>
        </w:rPr>
        <w:t xml:space="preserve">Key Events: </w:t>
      </w:r>
      <w:r>
        <w:rPr>
          <w:rFonts w:ascii="Calibri" w:hAnsi="Calibri"/>
          <w:color w:val="525866"/>
          <w:sz w:val="22"/>
        </w:rPr>
        <w:t>The stock surged from $434 at earnings to $746 by June 18, driven by the SanDisk share exchange announcement (June 11 8-K, which was balance-sheet transformative) and Seagate's strong earnings read-through (June 15, STX reported blowout Q4 FY2026 results). The subsequent pullback from $746 to $462 by July 29 (−38%) appears sentiment-driven — no guidance cuts, no negative news — before recovering to $549 today. The sector ETF used is XLK (Technology Select Sector SPDR), which is appropriate given WDC's classification as a technology hardware company.</w:t>
      </w:r>
    </w:p>
    <w:p>
      <w:r>
        <w:rPr>
          <w:rFonts w:ascii="Calibri" w:hAnsi="Calibri"/>
          <w:i/>
          <w:color w:val="525866"/>
          <w:sz w:val="22"/>
        </w:rPr>
        <w:t>Source: Stock Price Data (Yahoo Finance).</w:t>
      </w:r>
    </w:p>
    <w:p>
      <w:r>
        <w:br w:type="page"/>
      </w:r>
    </w:p>
    <w:p>
      <w:pPr>
        <w:pStyle w:val="Heading2"/>
      </w:pPr>
      <w:r>
        <w:rPr>
          <w:rFonts w:ascii="Calibri" w:hAnsi="Calibri"/>
          <w:b/>
          <w:color w:val="3B4259"/>
          <w:sz w:val="28"/>
        </w:rPr>
        <w:t>6. Peer Commentaries (Last 60 Days — Read-Through for WDC Q4 FY2026)</w:t>
      </w:r>
    </w:p>
    <w:p>
      <w:r>
        <w:rPr>
          <w:rFonts w:ascii="Calibri" w:hAnsi="Calibri"/>
          <w:b/>
          <w:color w:val="525866"/>
          <w:sz w:val="22"/>
        </w:rPr>
        <w:t xml:space="preserve">Key Takeaway: </w:t>
      </w:r>
      <w:r>
        <w:rPr>
          <w:rFonts w:ascii="Calibri" w:hAnsi="Calibri"/>
          <w:color w:val="525866"/>
          <w:sz w:val="22"/>
        </w:rPr>
        <w:t>Peer commentary from the last 60 days is overwhelmingly positive for WDC's Q4 print and Q1 FY2027 guide. Seagate's blowout Q4 FY2026 results (reported July 28) are the most direct and powerful read-through — confirming accelerating HDD demand, widening supply-demand gap, and pricing momentum that should directly benefit WDC. Hyperscaler CapEx commentary from AMZN, MSFT, and GOOGL confirms that cloud infrastructure spending is accelerating, not decelerating, providing a strong demand backdrop for nearline HDD storage.</w:t>
      </w:r>
    </w:p>
    <w:p>
      <w:pPr>
        <w:pStyle w:val="Heading3"/>
      </w:pPr>
      <w:r>
        <w:rPr>
          <w:rFonts w:ascii="Calibri" w:hAnsi="Calibri"/>
          <w:b/>
          <w:color w:val="3B4259"/>
          <w:sz w:val="24"/>
        </w:rPr>
        <w:t>Seagate Technology (STX) — Q4 FY2026 Earnings (Reported July 28, 2026)</w:t>
      </w:r>
    </w:p>
    <w:p>
      <w:r>
        <w:rPr>
          <w:rFonts w:ascii="Calibri" w:hAnsi="Calibri"/>
          <w:b/>
          <w:color w:val="525866"/>
          <w:sz w:val="22"/>
        </w:rPr>
        <w:t xml:space="preserve">Relevance: </w:t>
      </w:r>
      <w:r>
        <w:rPr>
          <w:rFonts w:ascii="Calibri" w:hAnsi="Calibri"/>
          <w:color w:val="525866"/>
          <w:sz w:val="22"/>
        </w:rPr>
        <w:t>DIRECT read-through. STX is WDC's only direct HDD peer and reports the same end markets. STX's Q4 FY2026 results are the single most important data point for WDC's upcoming print.</w:t>
      </w:r>
    </w:p>
    <w:p>
      <w:pPr>
        <w:pStyle w:val="ListBullet"/>
        <w:ind w:left="360" w:hanging="360"/>
      </w:pPr>
      <w:r>
        <w:rPr>
          <w:rFonts w:ascii="Calibri" w:hAnsi="Calibri"/>
          <w:b/>
          <w:color w:val="525866"/>
          <w:sz w:val="22"/>
        </w:rPr>
        <w:t xml:space="preserve">Blowout Q4 FY2026 results: </w:t>
      </w:r>
      <w:r>
        <w:rPr>
          <w:rFonts w:ascii="Calibri" w:hAnsi="Calibri"/>
          <w:color w:val="525866"/>
          <w:sz w:val="22"/>
        </w:rPr>
        <w:t xml:space="preserve">STX reported June quarter revenue of $3.6B (+48% YoY, +17% QoQ), exceeding the high end of guidance. Non-GAAP gross margin of 52.7% (+570 bps QoQ) and non-GAAP EPS of $5.71 (+121% YoY) both exceeded guidance by a wide margin. This is the 13th consecutive quarter of gross margin expansion. </w:t>
      </w:r>
    </w:p>
    <w:p>
      <w:pPr>
        <w:pStyle w:val="ListBullet"/>
        <w:ind w:left="360" w:hanging="360"/>
      </w:pPr>
      <w:r>
        <w:rPr>
          <w:rFonts w:ascii="Calibri" w:hAnsi="Calibri"/>
          <w:b/>
          <w:color w:val="525866"/>
          <w:sz w:val="22"/>
        </w:rPr>
        <w:t xml:space="preserve">September quarter guide is exceptional: </w:t>
      </w:r>
      <w:r>
        <w:rPr>
          <w:rFonts w:ascii="Calibri" w:hAnsi="Calibri"/>
          <w:color w:val="525866"/>
          <w:sz w:val="22"/>
        </w:rPr>
        <w:t>STX guided September quarter revenue to $4.1B ± $100M (+56% YoY at midpoint), with non-GAAP operating margin of ~50% and non-GAAP EPS of $7.30 ± $0.20. Implied gross margin of ~mid-57% for September. This is a massive sequential step-up and implies the HDD cycle is accelerating, not plateauing.</w:t>
      </w:r>
    </w:p>
    <w:p>
      <w:pPr>
        <w:pStyle w:val="ListBullet"/>
        <w:ind w:left="360" w:hanging="360"/>
      </w:pPr>
      <w:r>
        <w:rPr>
          <w:rFonts w:ascii="Calibri" w:hAnsi="Calibri"/>
          <w:b/>
          <w:color w:val="525866"/>
          <w:sz w:val="22"/>
        </w:rPr>
        <w:t xml:space="preserve">Supply-demand gap is widening: </w:t>
      </w:r>
      <w:r>
        <w:rPr>
          <w:rFonts w:ascii="Calibri" w:hAnsi="Calibri"/>
          <w:color w:val="525866"/>
          <w:sz w:val="22"/>
        </w:rPr>
        <w:t>STX explicitly stated the gap between supply and demand is "a little bit bigger than a few quarters ago" and that demand is "particularly strong right now." Customers are "voting every day" by signing up to pricing "even higher than some of the contractual stuff" previously agreed upon. This is a direct positive read-through for WDC's ASP/TB trajectory.</w:t>
      </w:r>
    </w:p>
    <w:p>
      <w:pPr>
        <w:pStyle w:val="ListBullet"/>
        <w:ind w:left="360" w:hanging="360"/>
      </w:pPr>
      <w:r>
        <w:rPr>
          <w:rFonts w:ascii="Calibri" w:hAnsi="Calibri"/>
          <w:b/>
          <w:color w:val="525866"/>
          <w:sz w:val="22"/>
        </w:rPr>
        <w:t xml:space="preserve">Nearline exabyte allocation extends to 2028-2029: </w:t>
      </w:r>
      <w:r>
        <w:rPr>
          <w:rFonts w:ascii="Calibri" w:hAnsi="Calibri"/>
          <w:color w:val="525866"/>
          <w:sz w:val="22"/>
        </w:rPr>
        <w:t>"The vast majority of our Nearline exabytes are now allocated into calendar 2028. Many are actively seeking to extend planning horizons through 2029 and beyond." This mirrors WDC's own LTA commentary and validates the multi-year demand visibility thesis.</w:t>
      </w:r>
    </w:p>
    <w:p>
      <w:pPr>
        <w:pStyle w:val="ListBullet"/>
        <w:ind w:left="360" w:hanging="360"/>
      </w:pPr>
      <w:r>
        <w:rPr>
          <w:rFonts w:ascii="Calibri" w:hAnsi="Calibri"/>
          <w:b/>
          <w:color w:val="525866"/>
          <w:sz w:val="22"/>
        </w:rPr>
        <w:t xml:space="preserve">HAMR at 40% of nearline run rate: </w:t>
      </w:r>
      <w:r>
        <w:rPr>
          <w:rFonts w:ascii="Calibri" w:hAnsi="Calibri"/>
          <w:color w:val="525866"/>
          <w:sz w:val="22"/>
        </w:rPr>
        <w:t>STX's HAMR-based products represented ~40% of nearline exabyte shipment run rate exiting FY2026, with Mosaic 4 (44TB) ramping with the two largest CSPs. STX expects 50% of HAMR exabytes on Mosaic 4 by end of calendar 2026. This validates the technology transition timeline and suggests WDC's own HAMR qualification progress (4 customers) is on track.</w:t>
      </w:r>
    </w:p>
    <w:p>
      <w:pPr>
        <w:pStyle w:val="ListBullet"/>
        <w:ind w:left="360" w:hanging="360"/>
      </w:pPr>
      <w:r>
        <w:rPr>
          <w:rFonts w:ascii="Calibri" w:hAnsi="Calibri"/>
          <w:b/>
          <w:color w:val="525866"/>
          <w:sz w:val="22"/>
        </w:rPr>
        <w:t xml:space="preserve">FY2027 outlook: </w:t>
      </w:r>
      <w:r>
        <w:rPr>
          <w:rFonts w:ascii="Calibri" w:hAnsi="Calibri"/>
          <w:color w:val="525866"/>
          <w:sz w:val="22"/>
        </w:rPr>
        <w:t>STX expects sequential margin and cash generation growth throughout FY2027, with incremental gross margins "well above 60%." This is a strong read-through for WDC's own FY2027 margin expansion trajectory.</w:t>
      </w:r>
    </w:p>
    <w:p>
      <w:pPr>
        <w:pStyle w:val="Heading3"/>
      </w:pPr>
      <w:r>
        <w:rPr>
          <w:rFonts w:ascii="Calibri" w:hAnsi="Calibri"/>
          <w:b/>
          <w:color w:val="3B4259"/>
          <w:sz w:val="24"/>
        </w:rPr>
        <w:t>Seagate Technology (STX) — Bank of America Global Technology Conference (June 2, 2026)</w:t>
      </w:r>
    </w:p>
    <w:p>
      <w:r>
        <w:rPr>
          <w:rFonts w:ascii="Calibri" w:hAnsi="Calibri"/>
          <w:b/>
          <w:color w:val="525866"/>
          <w:sz w:val="22"/>
        </w:rPr>
        <w:t xml:space="preserve">Relevance: </w:t>
      </w:r>
      <w:r>
        <w:rPr>
          <w:rFonts w:ascii="Calibri" w:hAnsi="Calibri"/>
          <w:color w:val="525866"/>
          <w:sz w:val="22"/>
        </w:rPr>
        <w:t>Pre-earnings conference commentary from STX CEO on HDD industry dynamics — directly applicable to WDC's Q4 FY2026 quarter (April–June 2026).</w:t>
      </w:r>
    </w:p>
    <w:p>
      <w:pPr>
        <w:pStyle w:val="ListBullet"/>
        <w:ind w:left="360" w:hanging="360"/>
      </w:pPr>
      <w:r>
        <w:rPr>
          <w:rFonts w:ascii="Calibri" w:hAnsi="Calibri"/>
          <w:b/>
          <w:color w:val="525866"/>
          <w:sz w:val="22"/>
        </w:rPr>
        <w:t xml:space="preserve">13 consecutive quarters of growth with no end in sight: </w:t>
      </w:r>
      <w:r>
        <w:rPr>
          <w:rFonts w:ascii="Calibri" w:hAnsi="Calibri"/>
          <w:color w:val="525866"/>
          <w:sz w:val="22"/>
        </w:rPr>
        <w:t>STX CEO stated "based on the orders that we have in place already, we see this happening continuously and sequentially for the next 4 to 5 quarters" — providing high-confidence visibility through WDC's Q1 FY2027 and beyond.</w:t>
      </w:r>
    </w:p>
    <w:p>
      <w:pPr>
        <w:pStyle w:val="ListBullet"/>
        <w:ind w:left="360" w:hanging="360"/>
      </w:pPr>
      <w:r>
        <w:rPr>
          <w:rFonts w:ascii="Calibri" w:hAnsi="Calibri"/>
          <w:b/>
          <w:color w:val="525866"/>
          <w:sz w:val="22"/>
        </w:rPr>
        <w:t xml:space="preserve">Demand higher than expected: </w:t>
      </w:r>
      <w:r>
        <w:rPr>
          <w:rFonts w:ascii="Calibri" w:hAnsi="Calibri"/>
          <w:color w:val="525866"/>
          <w:sz w:val="22"/>
        </w:rPr>
        <w:t>"Demand is probably higher than what we were expecting a year ago or 6 months ago" and "Demand is way above supply." Factories are "a little bit maxed out at this point." This supply-constrained environment is directly positive for WDC's pricing and volume.</w:t>
      </w:r>
    </w:p>
    <w:p>
      <w:pPr>
        <w:pStyle w:val="ListBullet"/>
        <w:ind w:left="360" w:hanging="360"/>
      </w:pPr>
      <w:r>
        <w:rPr>
          <w:rFonts w:ascii="Calibri" w:hAnsi="Calibri"/>
          <w:b/>
          <w:color w:val="525866"/>
          <w:sz w:val="22"/>
        </w:rPr>
        <w:t xml:space="preserve">Spot market pricing at 2x contract rates: </w:t>
      </w:r>
      <w:r>
        <w:rPr>
          <w:rFonts w:ascii="Calibri" w:hAnsi="Calibri"/>
          <w:color w:val="525866"/>
          <w:sz w:val="22"/>
        </w:rPr>
        <w:t>STX noted that while contract pricing is in the "$13, $14 range" per TB, spot markets are "transacting at 2x that" — indicating significant pricing upside potential as LTAs roll over. WDC's ASP/TB of $15.03 in Q3 FY2026 is already above the contract range, suggesting WDC is capturing incremental pricing.</w:t>
      </w:r>
    </w:p>
    <w:p>
      <w:pPr>
        <w:pStyle w:val="ListBullet"/>
        <w:ind w:left="360" w:hanging="360"/>
      </w:pPr>
      <w:r>
        <w:rPr>
          <w:rFonts w:ascii="Calibri" w:hAnsi="Calibri"/>
          <w:b/>
          <w:color w:val="525866"/>
          <w:sz w:val="22"/>
        </w:rPr>
        <w:t xml:space="preserve">Drive refresh economics are compelling: </w:t>
      </w:r>
      <w:r>
        <w:rPr>
          <w:rFonts w:ascii="Calibri" w:hAnsi="Calibri"/>
          <w:color w:val="525866"/>
          <w:sz w:val="22"/>
        </w:rPr>
        <w:t>Replacing 20TB drives with 40TB drives doubles revenue for the same slot cost — "This is why for our customers, it's so important to get a bigger drive." This validates WDC's 40TB ePMR ramp (volume production H2 CY2026) as a key revenue and margin catalyst.</w:t>
      </w:r>
    </w:p>
    <w:p>
      <w:pPr>
        <w:pStyle w:val="Heading3"/>
      </w:pPr>
      <w:r>
        <w:rPr>
          <w:rFonts w:ascii="Calibri" w:hAnsi="Calibri"/>
          <w:b/>
          <w:color w:val="3B4259"/>
          <w:sz w:val="24"/>
        </w:rPr>
        <w:t>Alphabet/Google (GOOGL) — Q2 2026 Earnings (Reported July 22, 2026)</w:t>
      </w:r>
    </w:p>
    <w:p>
      <w:r>
        <w:rPr>
          <w:rFonts w:ascii="Calibri" w:hAnsi="Calibri"/>
          <w:b/>
          <w:color w:val="525866"/>
          <w:sz w:val="22"/>
        </w:rPr>
        <w:t xml:space="preserve">Relevance: </w:t>
      </w:r>
      <w:r>
        <w:rPr>
          <w:rFonts w:ascii="Calibri" w:hAnsi="Calibri"/>
          <w:color w:val="525866"/>
          <w:sz w:val="22"/>
        </w:rPr>
        <w:t>Google Cloud is a major WDC customer. CapEx acceleration and supply-constrained commentary validates nearline HDD demand.</w:t>
      </w:r>
    </w:p>
    <w:p>
      <w:pPr>
        <w:pStyle w:val="ListBullet"/>
        <w:ind w:left="360" w:hanging="360"/>
      </w:pPr>
      <w:r>
        <w:rPr>
          <w:rFonts w:ascii="Calibri" w:hAnsi="Calibri"/>
          <w:b/>
          <w:color w:val="525866"/>
          <w:sz w:val="22"/>
        </w:rPr>
        <w:t xml:space="preserve">CapEx guidance raised to $195–$205B for 2026: </w:t>
      </w:r>
      <w:r>
        <w:rPr>
          <w:rFonts w:ascii="Calibri" w:hAnsi="Calibri"/>
          <w:color w:val="525866"/>
          <w:sz w:val="22"/>
        </w:rPr>
        <w:t>Alphabet raised full-year 2026 CapEx guidance from $180–$190B to $195–$205B, with further increases expected in 2027. The company is operating in a "supply constrained environment" despite having "increased capacity quite significantly over the past three years" — a demand-constrained environment that is directly positive for WDC's nearline HDD volumes.</w:t>
      </w:r>
    </w:p>
    <w:p>
      <w:pPr>
        <w:pStyle w:val="ListBullet"/>
        <w:ind w:left="360" w:hanging="360"/>
      </w:pPr>
      <w:r>
        <w:rPr>
          <w:rFonts w:ascii="Calibri" w:hAnsi="Calibri"/>
          <w:b/>
          <w:color w:val="525866"/>
          <w:sz w:val="22"/>
        </w:rPr>
        <w:t xml:space="preserve">Token usage accelerating rapidly: </w:t>
      </w:r>
      <w:r>
        <w:rPr>
          <w:rFonts w:ascii="Calibri" w:hAnsi="Calibri"/>
          <w:color w:val="525866"/>
          <w:sz w:val="22"/>
        </w:rPr>
        <w:t>Model APIs processing ~22 billion tokens per minute (up from 16 billion just a quarter ago). Nearly 500 cloud customers have each processed more than 1 trillion tokens in the last year. This token volume directly translates to stored data on HDDs, validating WDC's thesis that AI inference is a compounding storage demand driver.</w:t>
      </w:r>
    </w:p>
    <w:p>
      <w:pPr>
        <w:pStyle w:val="ListBullet"/>
        <w:ind w:left="360" w:hanging="360"/>
      </w:pPr>
      <w:r>
        <w:rPr>
          <w:rFonts w:ascii="Calibri" w:hAnsi="Calibri"/>
          <w:b/>
          <w:color w:val="525866"/>
          <w:sz w:val="22"/>
        </w:rPr>
        <w:t xml:space="preserve">Cloud backlog +$50B QoQ to $514B: </w:t>
      </w:r>
      <w:r>
        <w:rPr>
          <w:rFonts w:ascii="Calibri" w:hAnsi="Calibri"/>
          <w:color w:val="525866"/>
          <w:sz w:val="22"/>
        </w:rPr>
        <w:t>Google Cloud backlog expanded to $514B, with over 50% expected to be recognized as revenue over the next 24 months. This backlog provides multi-year demand visibility that underpins WDC's LTA structure with hyperscalers.</w:t>
      </w:r>
    </w:p>
    <w:p>
      <w:pPr>
        <w:pStyle w:val="ListBullet"/>
        <w:ind w:left="360" w:hanging="360"/>
      </w:pPr>
      <w:r>
        <w:rPr>
          <w:rFonts w:ascii="Calibri" w:hAnsi="Calibri"/>
          <w:b/>
          <w:color w:val="525866"/>
          <w:sz w:val="22"/>
        </w:rPr>
        <w:t xml:space="preserve">Supply constrained, expanding third-party capacity: </w:t>
      </w:r>
      <w:r>
        <w:rPr>
          <w:rFonts w:ascii="Calibri" w:hAnsi="Calibri"/>
          <w:color w:val="525866"/>
          <w:sz w:val="22"/>
        </w:rPr>
        <w:t>Alphabet plans to "expand the use of third party capacity in Q3 as a bridging strategy while we continue to build out internal capacity" — indicating demand is outpacing even accelerated internal build-out, a positive signal for WDC's order book.</w:t>
      </w:r>
    </w:p>
    <w:p>
      <w:pPr>
        <w:pStyle w:val="Heading3"/>
      </w:pPr>
      <w:r>
        <w:rPr>
          <w:rFonts w:ascii="Calibri" w:hAnsi="Calibri"/>
          <w:b/>
          <w:color w:val="3B4259"/>
          <w:sz w:val="24"/>
        </w:rPr>
        <w:t>Amazon (AMZN) — Q2 2026 Earnings (Reported July 30, 2026)</w:t>
      </w:r>
    </w:p>
    <w:p>
      <w:r>
        <w:rPr>
          <w:rFonts w:ascii="Calibri" w:hAnsi="Calibri"/>
          <w:b/>
          <w:color w:val="525866"/>
          <w:sz w:val="22"/>
        </w:rPr>
        <w:t xml:space="preserve">Relevance: </w:t>
      </w:r>
      <w:r>
        <w:rPr>
          <w:rFonts w:ascii="Calibri" w:hAnsi="Calibri"/>
          <w:color w:val="525866"/>
          <w:sz w:val="22"/>
        </w:rPr>
        <w:t>AMZN is one of WDC's largest hyperscaler customers. AWS CapEx commentary directly signals nearline HDD demand trajectory.</w:t>
      </w:r>
    </w:p>
    <w:p>
      <w:pPr>
        <w:pStyle w:val="ListBullet"/>
        <w:ind w:left="360" w:hanging="360"/>
      </w:pPr>
      <w:r>
        <w:rPr>
          <w:rFonts w:ascii="Calibri" w:hAnsi="Calibri"/>
          <w:b/>
          <w:color w:val="525866"/>
          <w:sz w:val="22"/>
        </w:rPr>
        <w:t xml:space="preserve">CapEx raised to $220B for 2026: </w:t>
      </w:r>
      <w:r>
        <w:rPr>
          <w:rFonts w:ascii="Calibri" w:hAnsi="Calibri"/>
          <w:color w:val="525866"/>
          <w:sz w:val="22"/>
        </w:rPr>
        <w:t>Amazon raised its 2026 cash CapEx estimate from ~$200B to ~$220B, primarily due to higher memory costs. Even at this level, Amazon stated it "will still not have enough capacity to meet all the demand we have in 2026" — a demand-constrained environment that is directly positive for WDC's nearline HDD volumes.</w:t>
      </w:r>
    </w:p>
    <w:p>
      <w:pPr>
        <w:pStyle w:val="ListBullet"/>
        <w:ind w:left="360" w:hanging="360"/>
      </w:pPr>
      <w:r>
        <w:rPr>
          <w:rFonts w:ascii="Calibri" w:hAnsi="Calibri"/>
          <w:b/>
          <w:color w:val="525866"/>
          <w:sz w:val="22"/>
        </w:rPr>
        <w:t xml:space="preserve">2027 and 2028 demand already "striking": </w:t>
      </w:r>
      <w:r>
        <w:rPr>
          <w:rFonts w:ascii="Calibri" w:hAnsi="Calibri"/>
          <w:color w:val="525866"/>
          <w:sz w:val="22"/>
        </w:rPr>
        <w:t>"The demand we already have for 2028 is striking." Amazon is on track to double capacity and power capacity by end of 2027 vs. 2025. This multi-year build-out is the primary driver of WDC's LTA extensions into 2028-2029.</w:t>
      </w:r>
    </w:p>
    <w:p>
      <w:pPr>
        <w:pStyle w:val="ListBullet"/>
        <w:ind w:left="360" w:hanging="360"/>
      </w:pPr>
      <w:r>
        <w:rPr>
          <w:rFonts w:ascii="Calibri" w:hAnsi="Calibri"/>
          <w:b/>
          <w:color w:val="525866"/>
          <w:sz w:val="22"/>
        </w:rPr>
        <w:t xml:space="preserve">HDD prices explicitly noted as elevated: </w:t>
      </w:r>
      <w:r>
        <w:rPr>
          <w:rFonts w:ascii="Calibri" w:hAnsi="Calibri"/>
          <w:color w:val="525866"/>
          <w:sz w:val="22"/>
        </w:rPr>
        <w:t>Amazon CFO noted "there are inflated prices right now on some of the components, like memory and hard drives and SSDs" — a direct confirmation that WDC's pricing environment remains favorable and that customers are absorbing higher HDD costs.</w:t>
      </w:r>
    </w:p>
    <w:p>
      <w:pPr>
        <w:pStyle w:val="ListBullet"/>
        <w:ind w:left="360" w:hanging="360"/>
      </w:pPr>
      <w:r>
        <w:rPr>
          <w:rFonts w:ascii="Calibri" w:hAnsi="Calibri"/>
          <w:b/>
          <w:color w:val="525866"/>
          <w:sz w:val="22"/>
        </w:rPr>
        <w:t xml:space="preserve">AI inference driving storage demand: </w:t>
      </w:r>
      <w:r>
        <w:rPr>
          <w:rFonts w:ascii="Calibri" w:hAnsi="Calibri"/>
          <w:color w:val="525866"/>
          <w:sz w:val="22"/>
        </w:rPr>
        <w:t>"Enterprises are still very early in using inference at scale in their current production applications" — the inference ramp is just beginning, which is the primary driver of WDC's thesis that storage demand will compound as AI workloads scale. AWS backlog stands at $496B, growing at triple-digit percentages YoY.</w:t>
      </w:r>
    </w:p>
    <w:p>
      <w:pPr>
        <w:pStyle w:val="Heading3"/>
      </w:pPr>
      <w:r>
        <w:rPr>
          <w:rFonts w:ascii="Calibri" w:hAnsi="Calibri"/>
          <w:b/>
          <w:color w:val="3B4259"/>
          <w:sz w:val="24"/>
        </w:rPr>
        <w:t>Microsoft (MSFT) — Q4 FY2026 Earnings (Reported July 29, 2026)</w:t>
      </w:r>
    </w:p>
    <w:p>
      <w:r>
        <w:rPr>
          <w:rFonts w:ascii="Calibri" w:hAnsi="Calibri"/>
          <w:b/>
          <w:color w:val="525866"/>
          <w:sz w:val="22"/>
        </w:rPr>
        <w:t xml:space="preserve">Relevance: </w:t>
      </w:r>
      <w:r>
        <w:rPr>
          <w:rFonts w:ascii="Calibri" w:hAnsi="Calibri"/>
          <w:color w:val="525866"/>
          <w:sz w:val="22"/>
        </w:rPr>
        <w:t>MSFT is a major hyperscaler customer. Azure growth and CapEx commentary signals cloud infrastructure demand.</w:t>
      </w:r>
    </w:p>
    <w:p>
      <w:pPr>
        <w:pStyle w:val="ListBullet"/>
        <w:ind w:left="360" w:hanging="360"/>
      </w:pPr>
      <w:r>
        <w:rPr>
          <w:rFonts w:ascii="Calibri" w:hAnsi="Calibri"/>
          <w:b/>
          <w:color w:val="525866"/>
          <w:sz w:val="22"/>
        </w:rPr>
        <w:t xml:space="preserve">Azure revenue +43% YoY, demand exceeds capacity: </w:t>
      </w:r>
      <w:r>
        <w:rPr>
          <w:rFonts w:ascii="Calibri" w:hAnsi="Calibri"/>
          <w:color w:val="525866"/>
          <w:sz w:val="22"/>
        </w:rPr>
        <w:t>"Customer demand continues to exceed available capacity" — Microsoft added 31 new data centers this quarter (88 total this year) and added another gigawatt of capacity, on track to roughly double overall capacity in two years. This sustained build-out is a direct demand driver for WDC's nearline HDD products.</w:t>
      </w:r>
    </w:p>
    <w:p>
      <w:pPr>
        <w:pStyle w:val="ListBullet"/>
        <w:ind w:left="360" w:hanging="360"/>
      </w:pPr>
      <w:r>
        <w:rPr>
          <w:rFonts w:ascii="Calibri" w:hAnsi="Calibri"/>
          <w:b/>
          <w:color w:val="525866"/>
          <w:sz w:val="22"/>
        </w:rPr>
        <w:t xml:space="preserve">Q1 FY2027 CapEx guided &gt;$50B: </w:t>
      </w:r>
      <w:r>
        <w:rPr>
          <w:rFonts w:ascii="Calibri" w:hAnsi="Calibri"/>
          <w:color w:val="525866"/>
          <w:sz w:val="22"/>
        </w:rPr>
        <w:t>Microsoft guided Q1 FY2027 CapEx to over $50B, with FY2027 CapEx expected to grow year-over-year. The company extended useful life of data centers from 15 to 25 years, reflecting long-term commitment to infrastructure investment.</w:t>
      </w:r>
    </w:p>
    <w:p>
      <w:pPr>
        <w:pStyle w:val="ListBullet"/>
        <w:ind w:left="360" w:hanging="360"/>
      </w:pPr>
      <w:r>
        <w:rPr>
          <w:rFonts w:ascii="Calibri" w:hAnsi="Calibri"/>
          <w:b/>
          <w:color w:val="525866"/>
          <w:sz w:val="22"/>
        </w:rPr>
        <w:t xml:space="preserve">Data estate evolving to support agents: </w:t>
      </w:r>
      <w:r>
        <w:rPr>
          <w:rFonts w:ascii="Calibri" w:hAnsi="Calibri"/>
          <w:color w:val="525866"/>
          <w:sz w:val="22"/>
        </w:rPr>
        <w:t>Satya Nadella stated "The data estate is evolving from primarily supporting apps used by people to supporting agents" — agentic AI workloads generate and retain significantly more data, directly supporting WDC's thesis of compounding storage demand growth.</w:t>
      </w:r>
    </w:p>
    <w:p>
      <w:pPr>
        <w:pStyle w:val="Heading3"/>
      </w:pPr>
      <w:r>
        <w:rPr>
          <w:rFonts w:ascii="Calibri" w:hAnsi="Calibri"/>
          <w:b/>
          <w:color w:val="3B4259"/>
          <w:sz w:val="24"/>
        </w:rPr>
        <w:t>Meta Platforms (META) — Q2 2026 Earnings (Reported July 29, 2026)</w:t>
      </w:r>
    </w:p>
    <w:p>
      <w:r>
        <w:rPr>
          <w:rFonts w:ascii="Calibri" w:hAnsi="Calibri"/>
          <w:b/>
          <w:color w:val="525866"/>
          <w:sz w:val="22"/>
        </w:rPr>
        <w:t xml:space="preserve">Relevance: </w:t>
      </w:r>
      <w:r>
        <w:rPr>
          <w:rFonts w:ascii="Calibri" w:hAnsi="Calibri"/>
          <w:color w:val="525866"/>
          <w:sz w:val="22"/>
        </w:rPr>
        <w:t>Meta is a significant hyperscaler customer. CapEx commentary and AI infrastructure investment signals storage demand.</w:t>
      </w:r>
    </w:p>
    <w:p>
      <w:pPr>
        <w:pStyle w:val="ListBullet"/>
        <w:ind w:left="360" w:hanging="360"/>
      </w:pPr>
      <w:r>
        <w:rPr>
          <w:rFonts w:ascii="Calibri" w:hAnsi="Calibri"/>
          <w:b/>
          <w:color w:val="525866"/>
          <w:sz w:val="22"/>
        </w:rPr>
        <w:t xml:space="preserve">2026 CapEx narrowed to $130–$145B: </w:t>
      </w:r>
      <w:r>
        <w:rPr>
          <w:rFonts w:ascii="Calibri" w:hAnsi="Calibri"/>
          <w:color w:val="525866"/>
          <w:sz w:val="22"/>
        </w:rPr>
        <w:t>Meta narrowed its 2026 CapEx range from $125–$145B to $130–$145B, raising the floor. Q2 CapEx was $31.1B, driven by servers, data centers, and network infrastructure. Meta is "demand constrained" and expects to remain so in the foreseeable future.</w:t>
      </w:r>
    </w:p>
    <w:p>
      <w:pPr>
        <w:pStyle w:val="ListBullet"/>
        <w:ind w:left="360" w:hanging="360"/>
      </w:pPr>
      <w:r>
        <w:rPr>
          <w:rFonts w:ascii="Calibri" w:hAnsi="Calibri"/>
          <w:b/>
          <w:color w:val="525866"/>
          <w:sz w:val="22"/>
        </w:rPr>
        <w:t xml:space="preserve">Maximizing 2026 and 2027 capacity: </w:t>
      </w:r>
      <w:r>
        <w:rPr>
          <w:rFonts w:ascii="Calibri" w:hAnsi="Calibri"/>
          <w:color w:val="525866"/>
          <w:sz w:val="22"/>
        </w:rPr>
        <w:t>"Our current plans are geared towards maximizing 2026 and 2027 capacity" and "overall industry capacity is going to remain tight for the foreseeable future." Meta is also partnering with BlackRock to develop a new 1-gigawatt data center in El Paso, Texas — a further signal of sustained long-term infrastructure investment.</w:t>
      </w:r>
    </w:p>
    <w:p>
      <w:pPr>
        <w:pStyle w:val="ListBullet"/>
        <w:ind w:left="360" w:hanging="360"/>
      </w:pPr>
      <w:r>
        <w:rPr>
          <w:rFonts w:ascii="Calibri" w:hAnsi="Calibri"/>
          <w:b/>
          <w:color w:val="525866"/>
          <w:sz w:val="22"/>
        </w:rPr>
        <w:t xml:space="preserve">Data infrastructure investment accelerating: </w:t>
      </w:r>
      <w:r>
        <w:rPr>
          <w:rFonts w:ascii="Calibri" w:hAnsi="Calibri"/>
          <w:color w:val="525866"/>
          <w:sz w:val="22"/>
        </w:rPr>
        <w:t>Meta is scaling up the length of user interaction sequences and model architectures across Facebook and Instagram. Every public Reels and Feed post on Instagram is now processed through an LLM — generating persistent stored data that requires HDD storage. Meta is receiving "a lot of offers for compute at a significant premium over what we paid for it," indicating industry-wide capacity tightness.</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post-earnings development is the June 11 SanDisk share exchange (8-K), which completed WDC's balance sheet transformation to a net cash position and enabled investment-grade credit ratings — a structural positive that reduces financial risk and supports the capital return program. Seagate's blowout Q4 FY2026 results (July 28) are the most important industry read-through.</w:t>
      </w:r>
    </w:p>
    <w:p>
      <w:pPr>
        <w:pStyle w:val="ListBullet"/>
        <w:ind w:left="360" w:hanging="360"/>
      </w:pPr>
      <w:r>
        <w:rPr>
          <w:rFonts w:ascii="Calibri" w:hAnsi="Calibri"/>
          <w:b/>
          <w:color w:val="525866"/>
          <w:sz w:val="22"/>
        </w:rPr>
        <w:t xml:space="preserve">July 28, 2026 — Seagate Q4 FY2026 Earnings Beat: </w:t>
      </w:r>
      <w:r>
        <w:rPr>
          <w:rFonts w:ascii="Calibri" w:hAnsi="Calibri"/>
          <w:color w:val="525866"/>
          <w:sz w:val="22"/>
        </w:rPr>
        <w:t xml:space="preserve">STX reported revenue of $3.6B (+48% YoY), gross margin of 52.7%, and EPS of $5.71 (+121% YoY), all exceeding guidance. September quarter guide of $4.1B revenue and $7.30 EPS implies the HDD cycle is accelerating. </w:t>
      </w:r>
    </w:p>
    <w:p>
      <w:pPr>
        <w:pStyle w:val="ListBullet"/>
        <w:ind w:left="360" w:hanging="360"/>
      </w:pPr>
      <w:r>
        <w:rPr>
          <w:rFonts w:ascii="Calibri" w:hAnsi="Calibri"/>
          <w:i/>
          <w:color w:val="525866"/>
          <w:sz w:val="22"/>
        </w:rPr>
        <w:t xml:space="preserve">Implication: </w:t>
      </w:r>
      <w:r>
        <w:rPr>
          <w:rFonts w:ascii="Calibri" w:hAnsi="Calibri"/>
          <w:color w:val="525866"/>
          <w:sz w:val="22"/>
        </w:rPr>
        <w:t>Strongest possible positive read-through for WDC's Q4 FY2026 print and Q1 FY2027 guide. Confirms widening supply-demand gap and pricing momentum.</w:t>
      </w:r>
    </w:p>
    <w:p>
      <w:pPr>
        <w:pStyle w:val="ListBullet"/>
        <w:ind w:left="360" w:hanging="360"/>
      </w:pPr>
      <w:r>
        <w:rPr>
          <w:rFonts w:ascii="Calibri" w:hAnsi="Calibri"/>
          <w:b/>
          <w:color w:val="525866"/>
          <w:sz w:val="22"/>
        </w:rPr>
        <w:t xml:space="preserve">July 13, 2026 — WDC Announces Q4 FY2026 Earnings Date: </w:t>
      </w:r>
      <w:r>
        <w:rPr>
          <w:rFonts w:ascii="Calibri" w:hAnsi="Calibri"/>
          <w:color w:val="525866"/>
          <w:sz w:val="22"/>
        </w:rPr>
        <w:t>WDC confirmed earnings release on August 5, 2026 after market close. No pre-announcement or guidance update was included, suggesting results are tracking in line with or above guidance.</w:t>
      </w:r>
    </w:p>
    <w:p>
      <w:pPr>
        <w:pStyle w:val="ListBullet"/>
        <w:ind w:left="360" w:hanging="360"/>
      </w:pPr>
      <w:r>
        <w:rPr>
          <w:rFonts w:ascii="Calibri" w:hAnsi="Calibri"/>
          <w:b/>
          <w:color w:val="525866"/>
          <w:sz w:val="22"/>
        </w:rPr>
        <w:t xml:space="preserve">June 11, 2026 — SanDisk Share Exchange (8-K): </w:t>
      </w:r>
      <w:r>
        <w:rPr>
          <w:rFonts w:ascii="Calibri" w:hAnsi="Calibri"/>
          <w:color w:val="525866"/>
          <w:sz w:val="22"/>
        </w:rPr>
        <w:t xml:space="preserve">WDC entered into privately negotiated exchange agreements with institutional investors to exchange 1,038,681 shares of SanDisk common stock for WDC shares, with pricing determined over a June 16-18 measurement period and closing June 22. </w:t>
      </w:r>
    </w:p>
    <w:p>
      <w:pPr>
        <w:pStyle w:val="ListBullet"/>
        <w:ind w:left="360" w:hanging="360"/>
      </w:pPr>
      <w:r>
        <w:rPr>
          <w:rFonts w:ascii="Calibri" w:hAnsi="Calibri"/>
          <w:i/>
          <w:color w:val="525866"/>
          <w:sz w:val="22"/>
        </w:rPr>
        <w:t xml:space="preserve">Implication: </w:t>
      </w:r>
      <w:r>
        <w:rPr>
          <w:rFonts w:ascii="Calibri" w:hAnsi="Calibri"/>
          <w:color w:val="525866"/>
          <w:sz w:val="22"/>
        </w:rPr>
        <w:t>Completes the balance sheet transformation to net cash position. Reduces share count slightly (buyback-equivalent). Remaining ~1.7M SanDisk shares to be monetized in a tax-free equity-for-equity transaction before end of CY2026. This was the primary catalyst for the stock's surge from $529 to $746 between June 11 and June 18.</w:t>
      </w:r>
    </w:p>
    <w:p>
      <w:pPr>
        <w:pStyle w:val="ListBullet"/>
        <w:ind w:left="360" w:hanging="360"/>
      </w:pPr>
      <w:r>
        <w:rPr>
          <w:rFonts w:ascii="Calibri" w:hAnsi="Calibri"/>
          <w:b/>
          <w:color w:val="525866"/>
          <w:sz w:val="22"/>
        </w:rPr>
        <w:t xml:space="preserve">June 2, 2026 — STX at BofA Global Technology Conference: </w:t>
      </w:r>
      <w:r>
        <w:rPr>
          <w:rFonts w:ascii="Calibri" w:hAnsi="Calibri"/>
          <w:color w:val="525866"/>
          <w:sz w:val="22"/>
        </w:rPr>
        <w:t xml:space="preserve">STX CEO provided detailed commentary on HDD industry dynamics, confirming orders in place for "next 4 to 5 quarters" of sequential growth, demand "way above supply," and spot market pricing at 2x contract rates. </w:t>
      </w:r>
    </w:p>
    <w:p>
      <w:pPr>
        <w:pStyle w:val="ListBullet"/>
        <w:ind w:left="360" w:hanging="360"/>
      </w:pPr>
      <w:r>
        <w:rPr>
          <w:rFonts w:ascii="Calibri" w:hAnsi="Calibri"/>
          <w:i/>
          <w:color w:val="525866"/>
          <w:sz w:val="22"/>
        </w:rPr>
        <w:t xml:space="preserve">Implication: </w:t>
      </w:r>
      <w:r>
        <w:rPr>
          <w:rFonts w:ascii="Calibri" w:hAnsi="Calibri"/>
          <w:color w:val="525866"/>
          <w:sz w:val="22"/>
        </w:rPr>
        <w:t>Validates WDC's pricing and volume trajectory for Q4 FY2026 and beyond.</w:t>
      </w:r>
    </w:p>
    <w:p>
      <w:pPr>
        <w:pStyle w:val="ListBullet"/>
        <w:ind w:left="360" w:hanging="360"/>
      </w:pPr>
      <w:r>
        <w:rPr>
          <w:rFonts w:ascii="Calibri" w:hAnsi="Calibri"/>
          <w:b/>
          <w:color w:val="525866"/>
          <w:sz w:val="22"/>
        </w:rPr>
        <w:t xml:space="preserve">Late July 2026 — Hyperscaler Q2 2026 Earnings (AMZN, MSFT, GOOGL, META): </w:t>
      </w:r>
      <w:r>
        <w:rPr>
          <w:rFonts w:ascii="Calibri" w:hAnsi="Calibri"/>
          <w:color w:val="525866"/>
          <w:sz w:val="22"/>
        </w:rPr>
        <w:t xml:space="preserve">All four major hyperscalers reported accelerating CapEx and demand-constrained cloud infrastructure. AMZN raised 2026 CapEx to $220B; MSFT guided Q1 FY2027 CapEx &gt;$50B; GOOGL raised 2026 CapEx to $195–$205B; META narrowed 2026 CapEx to $130–$145B. AMZN explicitly noted elevated HDD prices. </w:t>
      </w:r>
    </w:p>
    <w:p>
      <w:pPr>
        <w:pStyle w:val="ListBullet"/>
        <w:ind w:left="360" w:hanging="360"/>
      </w:pPr>
      <w:r>
        <w:rPr>
          <w:rFonts w:ascii="Calibri" w:hAnsi="Calibri"/>
          <w:i/>
          <w:color w:val="525866"/>
          <w:sz w:val="22"/>
        </w:rPr>
        <w:t xml:space="preserve">Implication: </w:t>
      </w:r>
      <w:r>
        <w:rPr>
          <w:rFonts w:ascii="Calibri" w:hAnsi="Calibri"/>
          <w:color w:val="525866"/>
          <w:sz w:val="22"/>
        </w:rPr>
        <w:t>Confirms the demand environment for WDC's nearline HDD products remains robust and accelerating. Multi-year CapEx commitments underpin WDC's LTA structure.</w:t>
      </w:r>
    </w:p>
    <w:p>
      <w:pPr>
        <w:pStyle w:val="ListBullet"/>
        <w:ind w:left="360" w:hanging="360"/>
      </w:pPr>
      <w:r>
        <w:rPr>
          <w:rFonts w:ascii="Calibri" w:hAnsi="Calibri"/>
          <w:b/>
          <w:color w:val="525866"/>
          <w:sz w:val="22"/>
        </w:rPr>
        <w:t xml:space="preserve">April 30, 2026 — Q3 FY2026 Earnings Beat + Q4 Guidance Well Above Street: </w:t>
      </w:r>
      <w:r>
        <w:rPr>
          <w:rFonts w:ascii="Calibri" w:hAnsi="Calibri"/>
          <w:color w:val="525866"/>
          <w:sz w:val="22"/>
        </w:rPr>
        <w:t xml:space="preserve">WDC reported Q3 FY2026 revenue of $3.337B (+45% YoY), non-GAAP gross margin of 50.5% (first time above 50%), and non-GAAP EPS of $2.756 — all above the high end of guidance. Q4 guidance of $3.65B revenue and $3.25 EPS was well above Street consensus at the time. Board approved 20% dividend increase to $0.15/share. HAMR in qualification with 4 customers; LTAs extended to CY2029. </w:t>
      </w:r>
    </w:p>
    <w:p>
      <w:pPr>
        <w:pStyle w:val="ListBullet"/>
        <w:ind w:left="360" w:hanging="360"/>
      </w:pPr>
      <w:r>
        <w:rPr>
          <w:rFonts w:ascii="Calibri" w:hAnsi="Calibri"/>
          <w:i/>
          <w:color w:val="525866"/>
          <w:sz w:val="22"/>
        </w:rPr>
        <w:t xml:space="preserve">Implication: </w:t>
      </w:r>
      <w:r>
        <w:rPr>
          <w:rFonts w:ascii="Calibri" w:hAnsi="Calibri"/>
          <w:color w:val="525866"/>
          <w:sz w:val="22"/>
        </w:rPr>
        <w:t>Established the baseline for Q4 expectations. The stock declined in after-hours despite the beat, suggesting elevated expectations were already priced in after a ~10% pre-earnings rally driven by STX's results.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Insider activity since the April 30 earnings is dominated by 10b5-1 planned sales — including a 20,000-share open-market sale by CEO Irving Tan on May 1 and a 10,000-share sale by Chief Sales Officer Brian Davis on May 11, both under pre-established 10b5-1 plans. No open-market discretionary buys have been filed. The volume of sales is notable but not alarming given the stock's significant appreciation; the 10b5-1 structure indicates these were pre-planned and not reactive to fundamental concerns.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Cole Martin I</w:t>
            </w:r>
          </w:p>
        </w:tc>
        <w:tc>
          <w:tcPr>
            <w:tcW w:type="dxa" w:w="1440"/>
          </w:tcPr>
          <w:p>
            <w:r>
              <w:rPr>
                <w:rFonts w:ascii="Calibri" w:hAnsi="Calibri"/>
                <w:sz w:val="22"/>
              </w:rPr>
              <w:t>Director</w:t>
            </w:r>
          </w:p>
        </w:tc>
        <w:tc>
          <w:tcPr>
            <w:tcW w:type="dxa" w:w="1440"/>
          </w:tcPr>
          <w:p>
            <w:r>
              <w:rPr>
                <w:rFonts w:ascii="Calibri" w:hAnsi="Calibri"/>
                <w:b/>
                <w:color w:val="E5484D"/>
                <w:sz w:val="22"/>
              </w:rPr>
              <w:t>Open Market Sale</w:t>
            </w:r>
          </w:p>
        </w:tc>
        <w:tc>
          <w:tcPr>
            <w:tcW w:type="dxa" w:w="1440"/>
          </w:tcPr>
          <w:p>
            <w:r>
              <w:rPr>
                <w:rFonts w:ascii="Calibri" w:hAnsi="Calibri"/>
                <w:sz w:val="22"/>
              </w:rPr>
              <w:t>4,000 shares (3,808 + 192)</w:t>
            </w:r>
          </w:p>
        </w:tc>
        <w:tc>
          <w:tcPr>
            <w:tcW w:type="dxa" w:w="1440"/>
          </w:tcPr>
          <w:p>
            <w:r>
              <w:rPr>
                <w:rFonts w:ascii="Calibri" w:hAnsi="Calibri"/>
                <w:sz w:val="22"/>
              </w:rPr>
              <w:t>Jul 28, 2026</w:t>
            </w:r>
          </w:p>
        </w:tc>
        <w:tc>
          <w:tcPr>
            <w:tcW w:type="dxa" w:w="1440"/>
          </w:tcPr>
          <w:p>
            <w:r>
              <w:rPr>
                <w:rFonts w:ascii="Calibri" w:hAnsi="Calibri"/>
                <w:sz w:val="22"/>
              </w:rPr>
              <w:t>10b5-1 planned sale; sold near recent lows (~$463)</w:t>
            </w:r>
          </w:p>
        </w:tc>
      </w:tr>
      <w:tr>
        <w:tc>
          <w:tcPr>
            <w:tcW w:type="dxa" w:w="1440"/>
          </w:tcPr>
          <w:p>
            <w:r>
              <w:rPr>
                <w:rFonts w:ascii="Calibri" w:hAnsi="Calibri"/>
                <w:sz w:val="22"/>
              </w:rPr>
              <w:t>Tregillis Cynthia L</w:t>
            </w:r>
          </w:p>
        </w:tc>
        <w:tc>
          <w:tcPr>
            <w:tcW w:type="dxa" w:w="1440"/>
          </w:tcPr>
          <w:p>
            <w:r>
              <w:rPr>
                <w:rFonts w:ascii="Calibri" w:hAnsi="Calibri"/>
                <w:sz w:val="22"/>
              </w:rPr>
              <w:t>Chief Legal Officer &amp; Corp Sec</w:t>
            </w:r>
          </w:p>
        </w:tc>
        <w:tc>
          <w:tcPr>
            <w:tcW w:type="dxa" w:w="1440"/>
          </w:tcPr>
          <w:p>
            <w:r>
              <w:rPr>
                <w:rFonts w:ascii="Calibri" w:hAnsi="Calibri"/>
                <w:b/>
                <w:color w:val="E5484D"/>
                <w:sz w:val="22"/>
              </w:rPr>
              <w:t>Open Market Sale</w:t>
            </w:r>
          </w:p>
        </w:tc>
        <w:tc>
          <w:tcPr>
            <w:tcW w:type="dxa" w:w="1440"/>
          </w:tcPr>
          <w:p>
            <w:r>
              <w:rPr>
                <w:rFonts w:ascii="Calibri" w:hAnsi="Calibri"/>
                <w:sz w:val="22"/>
              </w:rPr>
              <w:t>808 shares</w:t>
            </w:r>
          </w:p>
        </w:tc>
        <w:tc>
          <w:tcPr>
            <w:tcW w:type="dxa" w:w="1440"/>
          </w:tcPr>
          <w:p>
            <w:r>
              <w:rPr>
                <w:rFonts w:ascii="Calibri" w:hAnsi="Calibri"/>
                <w:sz w:val="22"/>
              </w:rPr>
              <w:t>Jul 21, 2026</w:t>
            </w:r>
          </w:p>
        </w:tc>
        <w:tc>
          <w:tcPr>
            <w:tcW w:type="dxa" w:w="1440"/>
          </w:tcPr>
          <w:p>
            <w:r>
              <w:rPr>
                <w:rFonts w:ascii="Calibri" w:hAnsi="Calibri"/>
                <w:sz w:val="22"/>
              </w:rPr>
              <w:t>10b5-1 planned sale</w:t>
            </w:r>
          </w:p>
        </w:tc>
      </w:tr>
      <w:tr>
        <w:tc>
          <w:tcPr>
            <w:tcW w:type="dxa" w:w="1440"/>
          </w:tcPr>
          <w:p>
            <w:r>
              <w:rPr>
                <w:rFonts w:ascii="Calibri" w:hAnsi="Calibri"/>
                <w:sz w:val="22"/>
              </w:rPr>
              <w:t>Cole Martin I</w:t>
            </w:r>
          </w:p>
        </w:tc>
        <w:tc>
          <w:tcPr>
            <w:tcW w:type="dxa" w:w="1440"/>
          </w:tcPr>
          <w:p>
            <w:r>
              <w:rPr>
                <w:rFonts w:ascii="Calibri" w:hAnsi="Calibri"/>
                <w:sz w:val="22"/>
              </w:rPr>
              <w:t>Director</w:t>
            </w:r>
          </w:p>
        </w:tc>
        <w:tc>
          <w:tcPr>
            <w:tcW w:type="dxa" w:w="1440"/>
          </w:tcPr>
          <w:p>
            <w:r>
              <w:rPr>
                <w:rFonts w:ascii="Calibri" w:hAnsi="Calibri"/>
                <w:b/>
                <w:color w:val="E5484D"/>
                <w:sz w:val="22"/>
              </w:rPr>
              <w:t>Open Market Sale</w:t>
            </w:r>
          </w:p>
        </w:tc>
        <w:tc>
          <w:tcPr>
            <w:tcW w:type="dxa" w:w="1440"/>
          </w:tcPr>
          <w:p>
            <w:r>
              <w:rPr>
                <w:rFonts w:ascii="Calibri" w:hAnsi="Calibri"/>
                <w:sz w:val="22"/>
              </w:rPr>
              <w:t>4,000 shares (720 + 3,280)</w:t>
            </w:r>
          </w:p>
        </w:tc>
        <w:tc>
          <w:tcPr>
            <w:tcW w:type="dxa" w:w="1440"/>
          </w:tcPr>
          <w:p>
            <w:r>
              <w:rPr>
                <w:rFonts w:ascii="Calibri" w:hAnsi="Calibri"/>
                <w:sz w:val="22"/>
              </w:rPr>
              <w:t>Jun 9, 2026</w:t>
            </w:r>
          </w:p>
        </w:tc>
        <w:tc>
          <w:tcPr>
            <w:tcW w:type="dxa" w:w="1440"/>
          </w:tcPr>
          <w:p>
            <w:r>
              <w:rPr>
                <w:rFonts w:ascii="Calibri" w:hAnsi="Calibri"/>
                <w:sz w:val="22"/>
              </w:rPr>
              <w:t>10b5-1 planned sale; sold near $518</w:t>
            </w:r>
          </w:p>
        </w:tc>
      </w:tr>
      <w:tr>
        <w:tc>
          <w:tcPr>
            <w:tcW w:type="dxa" w:w="1440"/>
          </w:tcPr>
          <w:p>
            <w:r>
              <w:rPr>
                <w:rFonts w:ascii="Calibri" w:hAnsi="Calibri"/>
                <w:sz w:val="22"/>
              </w:rPr>
              <w:t>Gubbi Vidyadhara K</w:t>
            </w:r>
          </w:p>
        </w:tc>
        <w:tc>
          <w:tcPr>
            <w:tcW w:type="dxa" w:w="1440"/>
          </w:tcPr>
          <w:p>
            <w:r>
              <w:rPr>
                <w:rFonts w:ascii="Calibri" w:hAnsi="Calibri"/>
                <w:sz w:val="22"/>
              </w:rPr>
              <w:t>Chief of Global Operations</w:t>
            </w:r>
          </w:p>
        </w:tc>
        <w:tc>
          <w:tcPr>
            <w:tcW w:type="dxa" w:w="1440"/>
          </w:tcPr>
          <w:p>
            <w:r>
              <w:rPr>
                <w:rFonts w:ascii="Calibri" w:hAnsi="Calibri"/>
                <w:b/>
                <w:color w:val="E5484D"/>
                <w:sz w:val="22"/>
              </w:rPr>
              <w:t>Open Market Sale</w:t>
            </w:r>
          </w:p>
        </w:tc>
        <w:tc>
          <w:tcPr>
            <w:tcW w:type="dxa" w:w="1440"/>
          </w:tcPr>
          <w:p>
            <w:r>
              <w:rPr>
                <w:rFonts w:ascii="Calibri" w:hAnsi="Calibri"/>
                <w:sz w:val="22"/>
              </w:rPr>
              <w:t>2,475 shares</w:t>
            </w:r>
          </w:p>
        </w:tc>
        <w:tc>
          <w:tcPr>
            <w:tcW w:type="dxa" w:w="1440"/>
          </w:tcPr>
          <w:p>
            <w:r>
              <w:rPr>
                <w:rFonts w:ascii="Calibri" w:hAnsi="Calibri"/>
                <w:sz w:val="22"/>
              </w:rPr>
              <w:t>Jun 1, 2026</w:t>
            </w:r>
          </w:p>
        </w:tc>
        <w:tc>
          <w:tcPr>
            <w:tcW w:type="dxa" w:w="1440"/>
          </w:tcPr>
          <w:p>
            <w:r>
              <w:rPr>
                <w:rFonts w:ascii="Calibri" w:hAnsi="Calibri"/>
                <w:sz w:val="22"/>
              </w:rPr>
              <w:t>Non-10b5-1 discretionary sale; sold near $546</w:t>
            </w:r>
          </w:p>
        </w:tc>
      </w:tr>
      <w:tr>
        <w:tc>
          <w:tcPr>
            <w:tcW w:type="dxa" w:w="1440"/>
          </w:tcPr>
          <w:p>
            <w:r>
              <w:rPr>
                <w:rFonts w:ascii="Calibri" w:hAnsi="Calibri"/>
                <w:sz w:val="22"/>
              </w:rPr>
              <w:t>KIDDOO BRUCE E</w:t>
            </w:r>
          </w:p>
        </w:tc>
        <w:tc>
          <w:tcPr>
            <w:tcW w:type="dxa" w:w="1440"/>
          </w:tcPr>
          <w:p>
            <w:r>
              <w:rPr>
                <w:rFonts w:ascii="Calibri" w:hAnsi="Calibri"/>
                <w:sz w:val="22"/>
              </w:rPr>
              <w:t>Director</w:t>
            </w:r>
          </w:p>
        </w:tc>
        <w:tc>
          <w:tcPr>
            <w:tcW w:type="dxa" w:w="1440"/>
          </w:tcPr>
          <w:p>
            <w:r>
              <w:rPr>
                <w:rFonts w:ascii="Calibri" w:hAnsi="Calibri"/>
                <w:b/>
                <w:color w:val="E5484D"/>
                <w:sz w:val="22"/>
              </w:rPr>
              <w:t>Open Market Sale</w:t>
            </w:r>
          </w:p>
        </w:tc>
        <w:tc>
          <w:tcPr>
            <w:tcW w:type="dxa" w:w="1440"/>
          </w:tcPr>
          <w:p>
            <w:r>
              <w:rPr>
                <w:rFonts w:ascii="Calibri" w:hAnsi="Calibri"/>
                <w:sz w:val="22"/>
              </w:rPr>
              <w:t>750 shares</w:t>
            </w:r>
          </w:p>
        </w:tc>
        <w:tc>
          <w:tcPr>
            <w:tcW w:type="dxa" w:w="1440"/>
          </w:tcPr>
          <w:p>
            <w:r>
              <w:rPr>
                <w:rFonts w:ascii="Calibri" w:hAnsi="Calibri"/>
                <w:sz w:val="22"/>
              </w:rPr>
              <w:t>May 28, 2026</w:t>
            </w:r>
          </w:p>
        </w:tc>
        <w:tc>
          <w:tcPr>
            <w:tcW w:type="dxa" w:w="1440"/>
          </w:tcPr>
          <w:p>
            <w:r>
              <w:rPr>
                <w:rFonts w:ascii="Calibri" w:hAnsi="Calibri"/>
                <w:sz w:val="22"/>
              </w:rPr>
              <w:t>Non-10b5-1 discretionary sale; sold near $531</w:t>
            </w:r>
          </w:p>
        </w:tc>
      </w:tr>
      <w:tr>
        <w:tc>
          <w:tcPr>
            <w:tcW w:type="dxa" w:w="1440"/>
          </w:tcPr>
          <w:p>
            <w:r>
              <w:rPr>
                <w:rFonts w:ascii="Calibri" w:hAnsi="Calibri"/>
                <w:sz w:val="22"/>
              </w:rPr>
              <w:t>Davis Brian Scott</w:t>
            </w:r>
          </w:p>
        </w:tc>
        <w:tc>
          <w:tcPr>
            <w:tcW w:type="dxa" w:w="1440"/>
          </w:tcPr>
          <w:p>
            <w:r>
              <w:rPr>
                <w:rFonts w:ascii="Calibri" w:hAnsi="Calibri"/>
                <w:sz w:val="22"/>
              </w:rPr>
              <w:t>Chief Sales &amp; Mrktng Officer</w:t>
            </w:r>
          </w:p>
        </w:tc>
        <w:tc>
          <w:tcPr>
            <w:tcW w:type="dxa" w:w="1440"/>
          </w:tcPr>
          <w:p>
            <w:r>
              <w:rPr>
                <w:rFonts w:ascii="Calibri" w:hAnsi="Calibri"/>
                <w:b/>
                <w:color w:val="E5484D"/>
                <w:sz w:val="22"/>
              </w:rPr>
              <w:t>Open Market Sale</w:t>
            </w:r>
          </w:p>
        </w:tc>
        <w:tc>
          <w:tcPr>
            <w:tcW w:type="dxa" w:w="1440"/>
          </w:tcPr>
          <w:p>
            <w:r>
              <w:rPr>
                <w:rFonts w:ascii="Calibri" w:hAnsi="Calibri"/>
                <w:sz w:val="22"/>
              </w:rPr>
              <w:t>10,000 shares</w:t>
            </w:r>
          </w:p>
        </w:tc>
        <w:tc>
          <w:tcPr>
            <w:tcW w:type="dxa" w:w="1440"/>
          </w:tcPr>
          <w:p>
            <w:r>
              <w:rPr>
                <w:rFonts w:ascii="Calibri" w:hAnsi="Calibri"/>
                <w:sz w:val="22"/>
              </w:rPr>
              <w:t>May 11, 2026</w:t>
            </w:r>
          </w:p>
        </w:tc>
        <w:tc>
          <w:tcPr>
            <w:tcW w:type="dxa" w:w="1440"/>
          </w:tcPr>
          <w:p>
            <w:r>
              <w:rPr>
                <w:rFonts w:ascii="Calibri" w:hAnsi="Calibri"/>
                <w:sz w:val="22"/>
              </w:rPr>
              <w:t>10b5-1 planned sale; largest single sale in period</w:t>
            </w:r>
          </w:p>
        </w:tc>
      </w:tr>
      <w:tr>
        <w:tc>
          <w:tcPr>
            <w:tcW w:type="dxa" w:w="1440"/>
          </w:tcPr>
          <w:p>
            <w:r>
              <w:rPr>
                <w:rFonts w:ascii="Calibri" w:hAnsi="Calibri"/>
                <w:sz w:val="22"/>
              </w:rPr>
              <w:t>Gubbi Vidyadhara K</w:t>
            </w:r>
          </w:p>
        </w:tc>
        <w:tc>
          <w:tcPr>
            <w:tcW w:type="dxa" w:w="1440"/>
          </w:tcPr>
          <w:p>
            <w:r>
              <w:rPr>
                <w:rFonts w:ascii="Calibri" w:hAnsi="Calibri"/>
                <w:sz w:val="22"/>
              </w:rPr>
              <w:t>Chief of Global Operations</w:t>
            </w:r>
          </w:p>
        </w:tc>
        <w:tc>
          <w:tcPr>
            <w:tcW w:type="dxa" w:w="1440"/>
          </w:tcPr>
          <w:p>
            <w:r>
              <w:rPr>
                <w:rFonts w:ascii="Calibri" w:hAnsi="Calibri"/>
                <w:b/>
                <w:color w:val="E5484D"/>
                <w:sz w:val="22"/>
              </w:rPr>
              <w:t>Open Market Sale</w:t>
            </w:r>
          </w:p>
        </w:tc>
        <w:tc>
          <w:tcPr>
            <w:tcW w:type="dxa" w:w="1440"/>
          </w:tcPr>
          <w:p>
            <w:r>
              <w:rPr>
                <w:rFonts w:ascii="Calibri" w:hAnsi="Calibri"/>
                <w:sz w:val="22"/>
              </w:rPr>
              <w:t>4,674 shares</w:t>
            </w:r>
          </w:p>
        </w:tc>
        <w:tc>
          <w:tcPr>
            <w:tcW w:type="dxa" w:w="1440"/>
          </w:tcPr>
          <w:p>
            <w:r>
              <w:rPr>
                <w:rFonts w:ascii="Calibri" w:hAnsi="Calibri"/>
                <w:sz w:val="22"/>
              </w:rPr>
              <w:t>May 4, 2026</w:t>
            </w:r>
          </w:p>
        </w:tc>
        <w:tc>
          <w:tcPr>
            <w:tcW w:type="dxa" w:w="1440"/>
          </w:tcPr>
          <w:p>
            <w:r>
              <w:rPr>
                <w:rFonts w:ascii="Calibri" w:hAnsi="Calibri"/>
                <w:sz w:val="22"/>
              </w:rPr>
              <w:t>Non-10b5-1 discretionary sale; sold near $465</w:t>
            </w:r>
          </w:p>
        </w:tc>
      </w:tr>
      <w:tr>
        <w:tc>
          <w:tcPr>
            <w:tcW w:type="dxa" w:w="1440"/>
          </w:tcPr>
          <w:p>
            <w:r>
              <w:rPr>
                <w:rFonts w:ascii="Calibri" w:hAnsi="Calibri"/>
                <w:sz w:val="22"/>
              </w:rPr>
              <w:t>Tan Irving</w:t>
            </w:r>
          </w:p>
        </w:tc>
        <w:tc>
          <w:tcPr>
            <w:tcW w:type="dxa" w:w="1440"/>
          </w:tcPr>
          <w:p>
            <w:r>
              <w:rPr>
                <w:rFonts w:ascii="Calibri" w:hAnsi="Calibri"/>
                <w:sz w:val="22"/>
              </w:rPr>
              <w:t>CEO, Director</w:t>
            </w:r>
          </w:p>
        </w:tc>
        <w:tc>
          <w:tcPr>
            <w:tcW w:type="dxa" w:w="1440"/>
          </w:tcPr>
          <w:p>
            <w:r>
              <w:rPr>
                <w:rFonts w:ascii="Calibri" w:hAnsi="Calibri"/>
                <w:b/>
                <w:color w:val="E5484D"/>
                <w:sz w:val="22"/>
              </w:rPr>
              <w:t>Open Market Sale</w:t>
            </w:r>
          </w:p>
        </w:tc>
        <w:tc>
          <w:tcPr>
            <w:tcW w:type="dxa" w:w="1440"/>
          </w:tcPr>
          <w:p>
            <w:r>
              <w:rPr>
                <w:rFonts w:ascii="Calibri" w:hAnsi="Calibri"/>
                <w:sz w:val="22"/>
              </w:rPr>
              <w:t>20,000 shares</w:t>
            </w:r>
          </w:p>
        </w:tc>
        <w:tc>
          <w:tcPr>
            <w:tcW w:type="dxa" w:w="1440"/>
          </w:tcPr>
          <w:p>
            <w:r>
              <w:rPr>
                <w:rFonts w:ascii="Calibri" w:hAnsi="Calibri"/>
                <w:sz w:val="22"/>
              </w:rPr>
              <w:t>May 1, 2026</w:t>
            </w:r>
          </w:p>
        </w:tc>
        <w:tc>
          <w:tcPr>
            <w:tcW w:type="dxa" w:w="1440"/>
          </w:tcPr>
          <w:p>
            <w:r>
              <w:rPr>
                <w:rFonts w:ascii="Calibri" w:hAnsi="Calibri"/>
                <w:sz w:val="22"/>
              </w:rPr>
              <w:t>10b5-1 planned sale; largest CEO sale in period; sold near $432</w:t>
            </w:r>
          </w:p>
        </w:tc>
      </w:tr>
      <w:tr>
        <w:tc>
          <w:tcPr>
            <w:tcW w:type="dxa" w:w="1440"/>
          </w:tcPr>
          <w:p>
            <w:r>
              <w:rPr>
                <w:rFonts w:ascii="Calibri" w:hAnsi="Calibri"/>
                <w:sz w:val="22"/>
              </w:rPr>
              <w:t>Das Manuvir</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772 shares</w:t>
            </w:r>
          </w:p>
        </w:tc>
        <w:tc>
          <w:tcPr>
            <w:tcW w:type="dxa" w:w="1440"/>
          </w:tcPr>
          <w:p>
            <w:r>
              <w:rPr>
                <w:rFonts w:ascii="Calibri" w:hAnsi="Calibri"/>
                <w:sz w:val="22"/>
              </w:rPr>
              <w:t>May 26, 2026</w:t>
            </w:r>
          </w:p>
        </w:tc>
        <w:tc>
          <w:tcPr>
            <w:tcW w:type="dxa" w:w="1440"/>
          </w:tcPr>
          <w:p>
            <w:r>
              <w:rPr>
                <w:rFonts w:ascii="Calibri" w:hAnsi="Calibri"/>
                <w:sz w:val="22"/>
              </w:rPr>
              <w:t>Non-10b5-1 acquisition (grant/award); not an open-market purchase</w:t>
            </w:r>
          </w:p>
        </w:tc>
      </w:tr>
    </w:tbl>
    <w:p>
      <w:r>
        <w:rPr>
          <w:rFonts w:ascii="Calibri" w:hAnsi="Calibri"/>
          <w:b/>
          <w:color w:val="525866"/>
          <w:sz w:val="22"/>
        </w:rPr>
        <w:t xml:space="preserve">Additional Context: </w:t>
      </w:r>
      <w:r>
        <w:rPr>
          <w:rFonts w:ascii="Calibri" w:hAnsi="Calibri"/>
          <w:color w:val="525866"/>
          <w:sz w:val="22"/>
        </w:rPr>
        <w:t>The June 17 filings reflect routine dividend equivalent rights accruals (fractional share amounts) for multiple insiders — these are non-cash administrative entries, not open-market transactions, and carry no signal value. The June 20 filings for CEO Tan, CFO Sennesael, and others reflect RSU vesting and associated tax withholding (code F = shares withheld for taxes), which are obligation-driven and not discretionary. No open-market buys have been filed by any insider since the April 30 earnings date.</w:t>
      </w:r>
    </w:p>
    <w:p>
      <w:r>
        <w:rPr>
          <w:rFonts w:ascii="Calibri" w:hAnsi="Calibri"/>
          <w:b/>
          <w:color w:val="525866"/>
          <w:sz w:val="22"/>
        </w:rPr>
        <w:t xml:space="preserve">Assessment: </w:t>
      </w:r>
      <w:r>
        <w:rPr>
          <w:rFonts w:ascii="Calibri" w:hAnsi="Calibri"/>
          <w:color w:val="525866"/>
          <w:sz w:val="22"/>
        </w:rPr>
        <w:t>The absence of open-market buys is notable given the stock's significant pullback from $746 to $549, but the 10b5-1 structure of most sales indicates pre-planned execution rather than bearish conviction. The one notable discretionary sale is Gubbi Vidyadhara K (Chief of Global Operations) selling 2,475 shares on June 1 without a 10b5-1 plan — a modest amount at ~$546/share. Overall, insider activity does not send a clear directional signal.</w:t>
      </w:r>
    </w:p>
    <w:p>
      <w:r>
        <w:rPr>
          <w:rFonts w:ascii="Calibri" w:hAnsi="Calibri"/>
          <w:i/>
          <w:color w:val="525866"/>
          <w:sz w:val="22"/>
        </w:rPr>
        <w:t>Source: Insider Transaction Data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