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Western Digital Corporation (WDC)</w:t>
      </w:r>
    </w:p>
    <w:p>
      <w:pPr>
        <w:pStyle w:val="Heading2"/>
      </w:pPr>
      <w:r>
        <w:rPr>
          <w:rFonts w:ascii="Calibri" w:hAnsi="Calibri"/>
          <w:b/>
          <w:color w:val="3B4259"/>
          <w:sz w:val="28"/>
        </w:rPr>
        <w:t>Fiscal 4Q 2026 Earnings Preview</w:t>
      </w:r>
    </w:p>
    <w:p>
      <w:r>
        <w:rPr>
          <w:rFonts w:ascii="Calibri" w:hAnsi="Calibri"/>
          <w:b/>
          <w:color w:val="525866"/>
          <w:sz w:val="22"/>
        </w:rPr>
        <w:t xml:space="preserve">Earnings Call: </w:t>
      </w:r>
      <w:r>
        <w:rPr>
          <w:rFonts w:ascii="Calibri" w:hAnsi="Calibri"/>
          <w:color w:val="525866"/>
          <w:sz w:val="22"/>
        </w:rPr>
        <w:t xml:space="preserve">August 5, 2026, 4:30 PM ET  </w:t>
      </w:r>
      <w:r>
        <w:rPr>
          <w:rFonts w:ascii="Calibri" w:hAnsi="Calibri"/>
          <w:b/>
          <w:color w:val="525866"/>
          <w:sz w:val="22"/>
        </w:rPr>
        <w:t xml:space="preserve">  |  Prepared: </w:t>
      </w:r>
      <w:r>
        <w:rPr>
          <w:rFonts w:ascii="Calibri" w:hAnsi="Calibri"/>
          <w:color w:val="525866"/>
          <w:sz w:val="22"/>
        </w:rPr>
        <w:t xml:space="preserve">August 4, 2026  </w:t>
      </w:r>
      <w:r>
        <w:rPr>
          <w:rFonts w:ascii="Calibri" w:hAnsi="Calibri"/>
          <w:b/>
          <w:color w:val="525866"/>
          <w:sz w:val="22"/>
        </w:rPr>
        <w:t xml:space="preserve">  |  Reporting Period: </w:t>
      </w:r>
      <w:r>
        <w:rPr>
          <w:rFonts w:ascii="Calibri" w:hAnsi="Calibri"/>
          <w:color w:val="525866"/>
          <w:sz w:val="22"/>
        </w:rPr>
        <w:t>Fiscal Q4 2026 (Quarter Ended June 30, 2026)</w:t>
      </w:r>
    </w:p>
    <w:p>
      <w:r>
        <w:rPr>
          <w:rFonts w:ascii="Calibri" w:hAnsi="Calibri"/>
          <w:b/>
          <w:color w:val="525866"/>
          <w:sz w:val="22"/>
        </w:rPr>
        <w:t xml:space="preserve">Sector: </w:t>
      </w:r>
      <w:r>
        <w:rPr>
          <w:rFonts w:ascii="Calibri" w:hAnsi="Calibri"/>
          <w:color w:val="525866"/>
          <w:sz w:val="22"/>
        </w:rPr>
        <w:t xml:space="preserve">Technology — Data Storage  </w:t>
      </w:r>
      <w:r>
        <w:rPr>
          <w:rFonts w:ascii="Calibri" w:hAnsi="Calibri"/>
          <w:b/>
          <w:color w:val="525866"/>
          <w:sz w:val="22"/>
        </w:rPr>
        <w:t xml:space="preserve">  |  Primary Valuation Metric: </w:t>
      </w:r>
      <w:r>
        <w:rPr>
          <w:rFonts w:ascii="Calibri" w:hAnsi="Calibri"/>
          <w:color w:val="525866"/>
          <w:sz w:val="22"/>
        </w:rPr>
        <w:t xml:space="preserve">EV/EBITDA (NTM 17.5x)  </w:t>
      </w:r>
      <w:r>
        <w:rPr>
          <w:rFonts w:ascii="Calibri" w:hAnsi="Calibri"/>
          <w:b/>
          <w:color w:val="525866"/>
          <w:sz w:val="22"/>
        </w:rPr>
        <w:t xml:space="preserve">  |  Sector ETF Benchmark: </w:t>
      </w:r>
      <w:r>
        <w:rPr>
          <w:rFonts w:ascii="Calibri" w:hAnsi="Calibri"/>
          <w:color w:val="525866"/>
          <w:sz w:val="22"/>
        </w:rPr>
        <w:t>SOXX (iShares Semiconductor ETF)</w:t>
      </w:r>
    </w:p>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is constructive for a beat — consensus is a manageable bar given Seagate's blowout June-quarter print and WDC's own Q4 guidance that was already well above Street at the time of the Q3 print — but the stock has pulled back ~26% from its June peak, suggesting the market is demanding proof of execution rather than rewarding anticipation. </w:t>
      </w:r>
      <w:r>
        <w:rPr>
          <w:rFonts w:ascii="Calibri" w:hAnsi="Calibri"/>
          <w:b/>
          <w:color w:val="525866"/>
          <w:sz w:val="22"/>
        </w:rPr>
        <w:t>The single biggest swing factor is gross margin: can WDC sustain or extend the 50%+ threshold it crossed in Q3, and does Q4 guidance for 51–52% hold?</w:t>
      </w:r>
    </w:p>
    <w:p>
      <w:r>
        <w:rPr>
          <w:rFonts w:ascii="Calibri" w:hAnsi="Calibri"/>
          <w:color w:val="525866"/>
          <w:sz w:val="22"/>
        </w:rPr>
        <w:t xml:space="preserve">Heading into the August 5 print, the bar for WDC looks achievable but not trivial. </w:t>
      </w:r>
      <w:r>
        <w:rPr>
          <w:rFonts w:ascii="Calibri" w:hAnsi="Calibri"/>
          <w:b/>
          <w:color w:val="525866"/>
          <w:sz w:val="22"/>
        </w:rPr>
        <w:t>Consensus revenue of ~$3.71B and non-GAAP EPS of ~$3.35 represent roughly 41–42% year-over-year growth</w:t>
      </w:r>
      <w:r>
        <w:rPr>
          <w:rFonts w:ascii="Calibri" w:hAnsi="Calibri"/>
          <w:color w:val="525866"/>
          <w:sz w:val="22"/>
        </w:rPr>
        <w:t xml:space="preserve"> — a high absolute level, but one that management itself guided to (midpoint of Q4 guidance was well above the Street at the time of the Q3 print on April 30). Estimate revisions have been modestly positive since the Q3 beat, with revenue and EPS both drifting ~0.5–1% higher over the past 13 weeks, suggesting the Street has largely digested the guidance raise without getting ahead of it. The tone from management at the BofA Global Tech Conference (June 2) and Evercore TMT Conference (June 3) was unambiguously bullish — CFO Sennesael reiterated that forecasts are "continuing to go up," that gross margins will see "further improvement for many, many quarters," and that exabyte growth conviction above 25% CAGR is strengthening with every customer conversation. The stock, however, has given back significant ground from its mid-June peak (~$746) to ~$545 as of August 4, driven by a broader semiconductor selloff tied to CXMT's IPO, Chinese chip competition fears, and macro rate concerns — meaning the stock is no longer pricing in perfection and a clean beat-and-raise could catalyze a meaningful recovery. The key wildcard is whether the ePMR 40TB ramp (steep second-half calendar 2026 ramp guided) is tracking on schedule, as any slip in that transition would pressure both exabyte growth and the gross margin trajectory that underpins the entire bull thesis.</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but not low bar — revenue and EPS are both anchored to management's own Q4 guidance midpoints. </w:t>
      </w:r>
      <w:r>
        <w:rPr>
          <w:rFonts w:ascii="Calibri" w:hAnsi="Calibri"/>
          <w:b/>
          <w:color w:val="525866"/>
          <w:sz w:val="22"/>
        </w:rPr>
        <w:t>Gross margin (guided 51–52%) is the bigger swing factor: crossing 50% in Q3 was a milestone, and sustaining it in Q4 would validate the structural margin expansion thesis.</w:t>
      </w:r>
    </w:p>
    <w:p>
      <w:pPr>
        <w:pStyle w:val="Heading2"/>
      </w:pPr>
      <w:r>
        <w:rPr>
          <w:rFonts w:ascii="Calibri" w:hAnsi="Calibri"/>
          <w:b/>
          <w:color w:val="3B4259"/>
          <w:sz w:val="28"/>
        </w:rPr>
        <w:t>Table 1 — Current Quarter Snapshot (Fiscal 4Q 2026, Quarter Ended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(3Q FY2026, Mar 2026)</w:t>
            </w:r>
          </w:p>
        </w:tc>
        <w:tc>
          <w:tcPr>
            <w:tcW w:type="dxa" w:w="1234"/>
            <w:shd w:val="clear" w:color="auto" w:fill="3B4259"/>
          </w:tcPr>
          <w:p>
            <w:r>
              <w:rPr>
                <w:rFonts w:ascii="Calibri" w:hAnsi="Calibri"/>
                <w:b/>
                <w:color w:val="FFFFFF"/>
                <w:sz w:val="22"/>
              </w:rPr>
              <w:t>Prior Year Period (4Q FY2025, Jun 2025)</w:t>
            </w:r>
          </w:p>
        </w:tc>
        <w:tc>
          <w:tcPr>
            <w:tcW w:type="dxa" w:w="1234"/>
            <w:shd w:val="clear" w:color="auto" w:fill="3B4259"/>
          </w:tcPr>
          <w:p>
            <w:r>
              <w:rPr>
                <w:rFonts w:ascii="Calibri" w:hAnsi="Calibri"/>
                <w:b/>
                <w:color w:val="FFFFFF"/>
                <w:sz w:val="22"/>
              </w:rPr>
              <w:t>Consensus Estimate (4Q FY2026)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Management Guidance (4Q FY2026)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net</w:t>
            </w:r>
          </w:p>
        </w:tc>
        <w:tc>
          <w:tcPr>
            <w:tcW w:type="dxa" w:w="1234"/>
          </w:tcPr>
          <w:p>
            <w:r>
              <w:rPr>
                <w:rFonts w:ascii="Calibri" w:hAnsi="Calibri"/>
                <w:sz w:val="22"/>
              </w:rPr>
              <w:t>$3.337B</w:t>
            </w:r>
          </w:p>
        </w:tc>
        <w:tc>
          <w:tcPr>
            <w:tcW w:type="dxa" w:w="1234"/>
          </w:tcPr>
          <w:p>
            <w:r>
              <w:rPr>
                <w:rFonts w:ascii="Calibri" w:hAnsi="Calibri"/>
                <w:sz w:val="22"/>
              </w:rPr>
              <w:t>$2.605B</w:t>
            </w:r>
          </w:p>
        </w:tc>
        <w:tc>
          <w:tcPr>
            <w:tcW w:type="dxa" w:w="1234"/>
          </w:tcPr>
          <w:p>
            <w:r>
              <w:rPr>
                <w:rFonts w:ascii="Calibri" w:hAnsi="Calibri"/>
                <w:sz w:val="22"/>
              </w:rPr>
              <w:t>$3.714B</w:t>
            </w:r>
          </w:p>
        </w:tc>
        <w:tc>
          <w:tcPr>
            <w:tcW w:type="dxa" w:w="1234"/>
          </w:tcPr>
          <w:p>
            <w:r>
              <w:rPr>
                <w:rFonts w:ascii="Calibri" w:hAnsi="Calibri"/>
                <w:sz w:val="22"/>
              </w:rPr>
              <w:t>+42.6%</w:t>
            </w:r>
          </w:p>
        </w:tc>
        <w:tc>
          <w:tcPr>
            <w:tcW w:type="dxa" w:w="1234"/>
          </w:tcPr>
          <w:p>
            <w:r>
              <w:rPr>
                <w:rFonts w:ascii="Calibri" w:hAnsi="Calibri"/>
                <w:sz w:val="22"/>
              </w:rPr>
              <w:t>~$3.65–$3.85B (mid ~$3.75B)</w:t>
            </w:r>
          </w:p>
        </w:tc>
        <w:tc>
          <w:tcPr>
            <w:tcW w:type="dxa" w:w="1234"/>
          </w:tcPr>
          <w:p>
            <w:r>
              <w:rPr>
                <w:rFonts w:ascii="Calibri" w:hAnsi="Calibri"/>
                <w:sz w:val="22"/>
              </w:rPr>
              <w:t>-0.9% vs. midpoint</w:t>
            </w:r>
          </w:p>
        </w:tc>
      </w:tr>
      <w:tr>
        <w:tc>
          <w:tcPr>
            <w:tcW w:type="dxa" w:w="1234"/>
          </w:tcPr>
          <w:p>
            <w:r>
              <w:rPr>
                <w:rFonts w:ascii="Calibri" w:hAnsi="Calibri"/>
                <w:sz w:val="22"/>
              </w:rPr>
              <w:t>Non-GAAP EPS (Diluted)</w:t>
            </w:r>
          </w:p>
        </w:tc>
        <w:tc>
          <w:tcPr>
            <w:tcW w:type="dxa" w:w="1234"/>
          </w:tcPr>
          <w:p>
            <w:r>
              <w:rPr>
                <w:rFonts w:ascii="Calibri" w:hAnsi="Calibri"/>
                <w:sz w:val="22"/>
              </w:rPr>
              <w:t>$2.756</w:t>
            </w:r>
          </w:p>
        </w:tc>
        <w:tc>
          <w:tcPr>
            <w:tcW w:type="dxa" w:w="1234"/>
          </w:tcPr>
          <w:p>
            <w:r>
              <w:rPr>
                <w:rFonts w:ascii="Calibri" w:hAnsi="Calibri"/>
                <w:sz w:val="22"/>
              </w:rPr>
              <w:t>$1.748</w:t>
            </w:r>
          </w:p>
        </w:tc>
        <w:tc>
          <w:tcPr>
            <w:tcW w:type="dxa" w:w="1234"/>
          </w:tcPr>
          <w:p>
            <w:r>
              <w:rPr>
                <w:rFonts w:ascii="Calibri" w:hAnsi="Calibri"/>
                <w:sz w:val="22"/>
              </w:rPr>
              <w:t>$3.350</w:t>
            </w:r>
          </w:p>
        </w:tc>
        <w:tc>
          <w:tcPr>
            <w:tcW w:type="dxa" w:w="1234"/>
          </w:tcPr>
          <w:p>
            <w:r>
              <w:rPr>
                <w:rFonts w:ascii="Calibri" w:hAnsi="Calibri"/>
                <w:sz w:val="22"/>
              </w:rPr>
              <w:t>+91.6%</w:t>
            </w:r>
          </w:p>
        </w:tc>
        <w:tc>
          <w:tcPr>
            <w:tcW w:type="dxa" w:w="1234"/>
          </w:tcPr>
          <w:p>
            <w:r>
              <w:rPr>
                <w:rFonts w:ascii="Calibri" w:hAnsi="Calibri"/>
                <w:sz w:val="22"/>
              </w:rPr>
              <w:t>~$3.15–$3.55 (mid ~$3.35)</w:t>
            </w:r>
          </w:p>
        </w:tc>
        <w:tc>
          <w:tcPr>
            <w:tcW w:type="dxa" w:w="1234"/>
          </w:tcPr>
          <w:p>
            <w:r>
              <w:rPr>
                <w:rFonts w:ascii="Calibri" w:hAnsi="Calibri"/>
                <w:sz w:val="22"/>
              </w:rPr>
              <w:t>~0.0% vs. midpoint</w:t>
            </w:r>
          </w:p>
        </w:tc>
      </w:tr>
      <w:tr>
        <w:tc>
          <w:tcPr>
            <w:tcW w:type="dxa" w:w="1234"/>
          </w:tcPr>
          <w:p>
            <w:r>
              <w:rPr>
                <w:rFonts w:ascii="Calibri" w:hAnsi="Calibri"/>
                <w:sz w:val="22"/>
              </w:rPr>
              <w:t>HDD Nearline Capacity Shipped (EB)</w:t>
            </w:r>
          </w:p>
        </w:tc>
        <w:tc>
          <w:tcPr>
            <w:tcW w:type="dxa" w:w="1234"/>
          </w:tcPr>
          <w:p>
            <w:r>
              <w:rPr>
                <w:rFonts w:ascii="Calibri" w:hAnsi="Calibri"/>
                <w:sz w:val="22"/>
              </w:rPr>
              <w:t>199 EB</w:t>
            </w:r>
          </w:p>
        </w:tc>
        <w:tc>
          <w:tcPr>
            <w:tcW w:type="dxa" w:w="1234"/>
          </w:tcPr>
          <w:p>
            <w:r>
              <w:rPr>
                <w:rFonts w:ascii="Calibri" w:hAnsi="Calibri"/>
                <w:sz w:val="22"/>
              </w:rPr>
              <w:t>170 EB</w:t>
            </w:r>
          </w:p>
        </w:tc>
        <w:tc>
          <w:tcPr>
            <w:tcW w:type="dxa" w:w="1234"/>
          </w:tcPr>
          <w:p>
            <w:r>
              <w:rPr>
                <w:rFonts w:ascii="Calibri" w:hAnsi="Calibri"/>
                <w:sz w:val="22"/>
              </w:rPr>
              <w:t>~216 EB</w:t>
            </w:r>
          </w:p>
        </w:tc>
        <w:tc>
          <w:tcPr>
            <w:tcW w:type="dxa" w:w="1234"/>
          </w:tcPr>
          <w:p>
            <w:r>
              <w:rPr>
                <w:rFonts w:ascii="Calibri" w:hAnsi="Calibri"/>
                <w:sz w:val="22"/>
              </w:rPr>
              <w:t>+27.1%</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ASP/TB — HDD ($)</w:t>
            </w:r>
          </w:p>
        </w:tc>
        <w:tc>
          <w:tcPr>
            <w:tcW w:type="dxa" w:w="1234"/>
          </w:tcPr>
          <w:p>
            <w:r>
              <w:rPr>
                <w:rFonts w:ascii="Calibri" w:hAnsi="Calibri"/>
                <w:sz w:val="22"/>
              </w:rPr>
              <w:t>$15.03</w:t>
            </w:r>
          </w:p>
        </w:tc>
        <w:tc>
          <w:tcPr>
            <w:tcW w:type="dxa" w:w="1234"/>
          </w:tcPr>
          <w:p>
            <w:r>
              <w:rPr>
                <w:rFonts w:ascii="Calibri" w:hAnsi="Calibri"/>
                <w:sz w:val="22"/>
              </w:rPr>
              <w:t>$13.71</w:t>
            </w:r>
          </w:p>
        </w:tc>
        <w:tc>
          <w:tcPr>
            <w:tcW w:type="dxa" w:w="1234"/>
          </w:tcPr>
          <w:p>
            <w:r>
              <w:rPr>
                <w:rFonts w:ascii="Calibri" w:hAnsi="Calibri"/>
                <w:sz w:val="22"/>
              </w:rPr>
              <w:t>~$15.45</w:t>
            </w:r>
          </w:p>
        </w:tc>
        <w:tc>
          <w:tcPr>
            <w:tcW w:type="dxa" w:w="1234"/>
          </w:tcPr>
          <w:p>
            <w:r>
              <w:rPr>
                <w:rFonts w:ascii="Calibri" w:hAnsi="Calibri"/>
                <w:sz w:val="22"/>
              </w:rPr>
              <w:t>+12.7%</w:t>
            </w:r>
          </w:p>
        </w:tc>
        <w:tc>
          <w:tcPr>
            <w:tcW w:type="dxa" w:w="1234"/>
          </w:tcPr>
          <w:p>
            <w:r>
              <w:rPr>
                <w:rFonts w:ascii="Calibri" w:hAnsi="Calibri"/>
                <w:sz w:val="22"/>
              </w:rPr>
              <w:t>Mid-to-high single-digit YoY increase guided</w:t>
            </w:r>
          </w:p>
        </w:tc>
        <w:tc>
          <w:tcPr>
            <w:tcW w:type="dxa" w:w="1234"/>
          </w:tcPr>
          <w:p>
            <w:r>
              <w:rPr>
                <w:rFonts w:ascii="Calibri" w:hAnsi="Calibri"/>
                <w:sz w:val="22"/>
              </w:rPr>
              <w:t>Tracking at high end</w:t>
            </w:r>
          </w:p>
        </w:tc>
      </w:tr>
      <w:tr>
        <w:tc>
          <w:tcPr>
            <w:tcW w:type="dxa" w:w="1234"/>
          </w:tcPr>
          <w:p>
            <w:r>
              <w:rPr>
                <w:rFonts w:ascii="Calibri" w:hAnsi="Calibri"/>
                <w:sz w:val="22"/>
              </w:rPr>
              <w:t>Non-GAAP Gross Margin</w:t>
            </w:r>
          </w:p>
        </w:tc>
        <w:tc>
          <w:tcPr>
            <w:tcW w:type="dxa" w:w="1234"/>
          </w:tcPr>
          <w:p>
            <w:r>
              <w:rPr>
                <w:rFonts w:ascii="Calibri" w:hAnsi="Calibri"/>
                <w:sz w:val="22"/>
              </w:rPr>
              <w:t>50.5% (actual)</w:t>
            </w:r>
          </w:p>
        </w:tc>
        <w:tc>
          <w:tcPr>
            <w:tcW w:type="dxa" w:w="1234"/>
          </w:tcPr>
          <w:p>
            <w:r>
              <w:rPr>
                <w:rFonts w:ascii="Calibri" w:hAnsi="Calibri"/>
                <w:sz w:val="22"/>
              </w:rPr>
              <w:t>~43.5% (est.)</w:t>
            </w:r>
          </w:p>
        </w:tc>
        <w:tc>
          <w:tcPr>
            <w:tcW w:type="dxa" w:w="1234"/>
          </w:tcPr>
          <w:p>
            <w:r>
              <w:rPr>
                <w:rFonts w:ascii="Calibri" w:hAnsi="Calibri"/>
                <w:sz w:val="22"/>
              </w:rPr>
              <w:t>~51–52% (consensus ~51.5%)</w:t>
            </w:r>
          </w:p>
        </w:tc>
        <w:tc>
          <w:tcPr>
            <w:tcW w:type="dxa" w:w="1234"/>
          </w:tcPr>
          <w:p>
            <w:r>
              <w:rPr>
                <w:rFonts w:ascii="Calibri" w:hAnsi="Calibri"/>
                <w:sz w:val="22"/>
              </w:rPr>
              <w:t>+~800 bps YoY</w:t>
            </w:r>
          </w:p>
        </w:tc>
        <w:tc>
          <w:tcPr>
            <w:tcW w:type="dxa" w:w="1234"/>
          </w:tcPr>
          <w:p>
            <w:r>
              <w:rPr>
                <w:rFonts w:ascii="Calibri" w:hAnsi="Calibri"/>
                <w:sz w:val="22"/>
              </w:rPr>
              <w:t>51–52%</w:t>
            </w:r>
          </w:p>
        </w:tc>
        <w:tc>
          <w:tcPr>
            <w:tcW w:type="dxa" w:w="1234"/>
          </w:tcPr>
          <w:p>
            <w:r>
              <w:rPr>
                <w:rFonts w:ascii="Calibri" w:hAnsi="Calibri"/>
                <w:sz w:val="22"/>
              </w:rPr>
              <w:t>~Inline with midpoint</w:t>
            </w:r>
          </w:p>
        </w:tc>
      </w:tr>
      <w:tr>
        <w:tc>
          <w:tcPr>
            <w:tcW w:type="dxa" w:w="1234"/>
          </w:tcPr>
          <w:p>
            <w:r>
              <w:rPr>
                <w:rFonts w:ascii="Calibri" w:hAnsi="Calibri"/>
                <w:sz w:val="22"/>
              </w:rPr>
              <w:t>Free Cash Flow</w:t>
            </w:r>
          </w:p>
        </w:tc>
        <w:tc>
          <w:tcPr>
            <w:tcW w:type="dxa" w:w="1234"/>
          </w:tcPr>
          <w:p>
            <w:r>
              <w:rPr>
                <w:rFonts w:ascii="Calibri" w:hAnsi="Calibri"/>
                <w:sz w:val="22"/>
              </w:rPr>
              <w:t>$978M</w:t>
            </w:r>
          </w:p>
        </w:tc>
        <w:tc>
          <w:tcPr>
            <w:tcW w:type="dxa" w:w="1234"/>
          </w:tcPr>
          <w:p>
            <w:r>
              <w:rPr>
                <w:rFonts w:ascii="Calibri" w:hAnsi="Calibri"/>
                <w:sz w:val="22"/>
              </w:rPr>
              <w:t>$675M</w:t>
            </w:r>
          </w:p>
        </w:tc>
        <w:tc>
          <w:tcPr>
            <w:tcW w:type="dxa" w:w="1234"/>
          </w:tcPr>
          <w:p>
            <w:r>
              <w:rPr>
                <w:rFonts w:ascii="Calibri" w:hAnsi="Calibri"/>
                <w:sz w:val="22"/>
              </w:rPr>
              <w:t>~$1.06B</w:t>
            </w:r>
          </w:p>
        </w:tc>
        <w:tc>
          <w:tcPr>
            <w:tcW w:type="dxa" w:w="1234"/>
          </w:tcPr>
          <w:p>
            <w:r>
              <w:rPr>
                <w:rFonts w:ascii="Calibri" w:hAnsi="Calibri"/>
                <w:sz w:val="22"/>
              </w:rPr>
              <w:t>+57.0%</w:t>
            </w:r>
          </w:p>
        </w:tc>
        <w:tc>
          <w:tcPr>
            <w:tcW w:type="dxa" w:w="1234"/>
          </w:tcPr>
          <w:p>
            <w:r>
              <w:rPr>
                <w:rFonts w:ascii="Calibri" w:hAnsi="Calibri"/>
                <w:sz w:val="22"/>
              </w:rPr>
              <w:t>Not explicitly guided</w:t>
            </w:r>
          </w:p>
        </w:tc>
        <w:tc>
          <w:tcPr>
            <w:tcW w:type="dxa" w:w="1234"/>
          </w:tcPr>
          <w:p>
            <w:r>
              <w:rPr>
                <w:rFonts w:ascii="Calibri" w:hAnsi="Calibri"/>
                <w:sz w:val="22"/>
              </w:rPr>
              <w:t>N/A</w:t>
            </w:r>
          </w:p>
        </w:tc>
      </w:tr>
    </w:tbl>
    <w:p>
      <w:r>
        <w:rPr>
          <w:rFonts w:ascii="Calibri" w:hAnsi="Calibri"/>
          <w:color w:val="525866"/>
          <w:sz w:val="22"/>
        </w:rPr>
        <w:t>Sources: Visible Alpha Consensus and Actuals Data. Revenue, EPS, Nearline EB, ASP/TB, and FCF figures sourced from Visible Alpha. Gross margin guidance from WDC Q3 FY2026 earnings call (April 30, 2026). Consensus gross margin is analyst-estimated based on guidance range.</w:t>
      </w:r>
    </w:p>
    <w:p>
      <w:pPr>
        <w:pStyle w:val="Heading2"/>
      </w:pPr>
      <w:r>
        <w:rPr>
          <w:rFonts w:ascii="Calibri" w:hAnsi="Calibri"/>
          <w:b/>
          <w:color w:val="3B4259"/>
          <w:sz w:val="28"/>
        </w:rPr>
        <w:t>Table 2 — Beat/Miss History: Last 8 Quarters (Top 2 KPIs: Revenue &amp; Non-GAAP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w:t>
            </w:r>
          </w:p>
        </w:tc>
        <w:tc>
          <w:tcPr>
            <w:tcW w:type="dxa" w:w="1080"/>
            <w:shd w:val="clear" w:color="auto" w:fill="3B4259"/>
          </w:tcPr>
          <w:p>
            <w:r>
              <w:rPr>
                <w:rFonts w:ascii="Calibri" w:hAnsi="Calibri"/>
                <w:b/>
                <w:color w:val="FFFFFF"/>
                <w:sz w:val="22"/>
              </w:rPr>
              <w:t>Revenue Consensus</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3Q FY2026 (Mar 2026)</w:t>
            </w:r>
          </w:p>
        </w:tc>
        <w:tc>
          <w:tcPr>
            <w:tcW w:type="dxa" w:w="1080"/>
          </w:tcPr>
          <w:p>
            <w:r>
              <w:rPr>
                <w:rFonts w:ascii="Calibri" w:hAnsi="Calibri"/>
                <w:sz w:val="22"/>
              </w:rPr>
              <w:t>$3.337B</w:t>
            </w:r>
          </w:p>
        </w:tc>
        <w:tc>
          <w:tcPr>
            <w:tcW w:type="dxa" w:w="1080"/>
          </w:tcPr>
          <w:p>
            <w:r>
              <w:rPr>
                <w:rFonts w:ascii="Calibri" w:hAnsi="Calibri"/>
                <w:sz w:val="22"/>
              </w:rPr>
              <w:t>$3.257B</w:t>
            </w:r>
          </w:p>
        </w:tc>
        <w:tc>
          <w:tcPr>
            <w:tcW w:type="dxa" w:w="1080"/>
          </w:tcPr>
          <w:p>
            <w:r>
              <w:rPr>
                <w:rFonts w:ascii="Calibri" w:hAnsi="Calibri"/>
                <w:b/>
                <w:color w:val="30A46C"/>
                <w:sz w:val="22"/>
              </w:rPr>
              <w:t>+2.5%</w:t>
            </w:r>
          </w:p>
        </w:tc>
        <w:tc>
          <w:tcPr>
            <w:tcW w:type="dxa" w:w="1080"/>
          </w:tcPr>
          <w:p>
            <w:r>
              <w:rPr>
                <w:rFonts w:ascii="Calibri" w:hAnsi="Calibri"/>
                <w:sz w:val="22"/>
              </w:rPr>
              <w:t>$2.756</w:t>
            </w:r>
          </w:p>
        </w:tc>
        <w:tc>
          <w:tcPr>
            <w:tcW w:type="dxa" w:w="1080"/>
          </w:tcPr>
          <w:p>
            <w:r>
              <w:rPr>
                <w:rFonts w:ascii="Calibri" w:hAnsi="Calibri"/>
                <w:sz w:val="22"/>
              </w:rPr>
              <w:t>$2.427</w:t>
            </w:r>
          </w:p>
        </w:tc>
        <w:tc>
          <w:tcPr>
            <w:tcW w:type="dxa" w:w="1080"/>
          </w:tcPr>
          <w:p>
            <w:r>
              <w:rPr>
                <w:rFonts w:ascii="Calibri" w:hAnsi="Calibri"/>
                <w:b/>
                <w:color w:val="30A46C"/>
                <w:sz w:val="22"/>
              </w:rPr>
              <w:t>+13.6%</w:t>
            </w:r>
          </w:p>
        </w:tc>
        <w:tc>
          <w:tcPr>
            <w:tcW w:type="dxa" w:w="1080"/>
          </w:tcPr>
          <w:p>
            <w:r>
              <w:rPr>
                <w:rFonts w:ascii="Calibri" w:hAnsi="Calibri"/>
                <w:b/>
                <w:color w:val="30A46C"/>
                <w:sz w:val="22"/>
              </w:rPr>
              <w:t>Beat / Beat</w:t>
            </w:r>
          </w:p>
        </w:tc>
      </w:tr>
      <w:tr>
        <w:tc>
          <w:tcPr>
            <w:tcW w:type="dxa" w:w="1080"/>
          </w:tcPr>
          <w:p>
            <w:r>
              <w:rPr>
                <w:rFonts w:ascii="Calibri" w:hAnsi="Calibri"/>
                <w:sz w:val="22"/>
              </w:rPr>
              <w:t>2Q FY2026 (Dec 2025)</w:t>
            </w:r>
          </w:p>
        </w:tc>
        <w:tc>
          <w:tcPr>
            <w:tcW w:type="dxa" w:w="1080"/>
          </w:tcPr>
          <w:p>
            <w:r>
              <w:rPr>
                <w:rFonts w:ascii="Calibri" w:hAnsi="Calibri"/>
                <w:sz w:val="22"/>
              </w:rPr>
              <w:t>$3.017B</w:t>
            </w:r>
          </w:p>
        </w:tc>
        <w:tc>
          <w:tcPr>
            <w:tcW w:type="dxa" w:w="1080"/>
          </w:tcPr>
          <w:p>
            <w:r>
              <w:rPr>
                <w:rFonts w:ascii="Calibri" w:hAnsi="Calibri"/>
                <w:sz w:val="22"/>
              </w:rPr>
              <w:t>$2.953B</w:t>
            </w:r>
          </w:p>
        </w:tc>
        <w:tc>
          <w:tcPr>
            <w:tcW w:type="dxa" w:w="1080"/>
          </w:tcPr>
          <w:p>
            <w:r>
              <w:rPr>
                <w:rFonts w:ascii="Calibri" w:hAnsi="Calibri"/>
                <w:b/>
                <w:color w:val="30A46C"/>
                <w:sz w:val="22"/>
              </w:rPr>
              <w:t>+2.2%</w:t>
            </w:r>
          </w:p>
        </w:tc>
        <w:tc>
          <w:tcPr>
            <w:tcW w:type="dxa" w:w="1080"/>
          </w:tcPr>
          <w:p>
            <w:r>
              <w:rPr>
                <w:rFonts w:ascii="Calibri" w:hAnsi="Calibri"/>
                <w:sz w:val="22"/>
              </w:rPr>
              <w:t>$1.824</w:t>
            </w:r>
          </w:p>
        </w:tc>
        <w:tc>
          <w:tcPr>
            <w:tcW w:type="dxa" w:w="1080"/>
          </w:tcPr>
          <w:p>
            <w:r>
              <w:rPr>
                <w:rFonts w:ascii="Calibri" w:hAnsi="Calibri"/>
                <w:sz w:val="22"/>
              </w:rPr>
              <w:t>$1.618</w:t>
            </w:r>
          </w:p>
        </w:tc>
        <w:tc>
          <w:tcPr>
            <w:tcW w:type="dxa" w:w="1080"/>
          </w:tcPr>
          <w:p>
            <w:r>
              <w:rPr>
                <w:rFonts w:ascii="Calibri" w:hAnsi="Calibri"/>
                <w:b/>
                <w:color w:val="30A46C"/>
                <w:sz w:val="22"/>
              </w:rPr>
              <w:t>+12.7%</w:t>
            </w:r>
          </w:p>
        </w:tc>
        <w:tc>
          <w:tcPr>
            <w:tcW w:type="dxa" w:w="1080"/>
          </w:tcPr>
          <w:p>
            <w:r>
              <w:rPr>
                <w:rFonts w:ascii="Calibri" w:hAnsi="Calibri"/>
                <w:b/>
                <w:color w:val="30A46C"/>
                <w:sz w:val="22"/>
              </w:rPr>
              <w:t>Beat / Beat</w:t>
            </w:r>
          </w:p>
        </w:tc>
      </w:tr>
      <w:tr>
        <w:tc>
          <w:tcPr>
            <w:tcW w:type="dxa" w:w="1080"/>
          </w:tcPr>
          <w:p>
            <w:r>
              <w:rPr>
                <w:rFonts w:ascii="Calibri" w:hAnsi="Calibri"/>
                <w:sz w:val="22"/>
              </w:rPr>
              <w:t>1Q FY2026 (Sep 2025)</w:t>
            </w:r>
          </w:p>
        </w:tc>
        <w:tc>
          <w:tcPr>
            <w:tcW w:type="dxa" w:w="1080"/>
          </w:tcPr>
          <w:p>
            <w:r>
              <w:rPr>
                <w:rFonts w:ascii="Calibri" w:hAnsi="Calibri"/>
                <w:sz w:val="22"/>
              </w:rPr>
              <w:t>$2.818B</w:t>
            </w:r>
          </w:p>
        </w:tc>
        <w:tc>
          <w:tcPr>
            <w:tcW w:type="dxa" w:w="1080"/>
          </w:tcPr>
          <w:p>
            <w:r>
              <w:rPr>
                <w:rFonts w:ascii="Calibri" w:hAnsi="Calibri"/>
                <w:sz w:val="22"/>
              </w:rPr>
              <w:t>$2.740B</w:t>
            </w:r>
          </w:p>
        </w:tc>
        <w:tc>
          <w:tcPr>
            <w:tcW w:type="dxa" w:w="1080"/>
          </w:tcPr>
          <w:p>
            <w:r>
              <w:rPr>
                <w:rFonts w:ascii="Calibri" w:hAnsi="Calibri"/>
                <w:b/>
                <w:color w:val="30A46C"/>
                <w:sz w:val="22"/>
              </w:rPr>
              <w:t>+2.8%</w:t>
            </w:r>
          </w:p>
        </w:tc>
        <w:tc>
          <w:tcPr>
            <w:tcW w:type="dxa" w:w="1080"/>
          </w:tcPr>
          <w:p>
            <w:r>
              <w:rPr>
                <w:rFonts w:ascii="Calibri" w:hAnsi="Calibri"/>
                <w:sz w:val="22"/>
              </w:rPr>
              <w:t>$1.824</w:t>
            </w:r>
          </w:p>
        </w:tc>
        <w:tc>
          <w:tcPr>
            <w:tcW w:type="dxa" w:w="1080"/>
          </w:tcPr>
          <w:p>
            <w:r>
              <w:rPr>
                <w:rFonts w:ascii="Calibri" w:hAnsi="Calibri"/>
                <w:sz w:val="22"/>
              </w:rPr>
              <w:t>$1.618</w:t>
            </w:r>
          </w:p>
        </w:tc>
        <w:tc>
          <w:tcPr>
            <w:tcW w:type="dxa" w:w="1080"/>
          </w:tcPr>
          <w:p>
            <w:r>
              <w:rPr>
                <w:rFonts w:ascii="Calibri" w:hAnsi="Calibri"/>
                <w:b/>
                <w:color w:val="30A46C"/>
                <w:sz w:val="22"/>
              </w:rPr>
              <w:t>+12.7%</w:t>
            </w:r>
          </w:p>
        </w:tc>
        <w:tc>
          <w:tcPr>
            <w:tcW w:type="dxa" w:w="1080"/>
          </w:tcPr>
          <w:p>
            <w:r>
              <w:rPr>
                <w:rFonts w:ascii="Calibri" w:hAnsi="Calibri"/>
                <w:b/>
                <w:color w:val="30A46C"/>
                <w:sz w:val="22"/>
              </w:rPr>
              <w:t>Beat / Beat</w:t>
            </w:r>
          </w:p>
        </w:tc>
      </w:tr>
      <w:tr>
        <w:tc>
          <w:tcPr>
            <w:tcW w:type="dxa" w:w="1080"/>
          </w:tcPr>
          <w:p>
            <w:r>
              <w:rPr>
                <w:rFonts w:ascii="Calibri" w:hAnsi="Calibri"/>
                <w:sz w:val="22"/>
              </w:rPr>
              <w:t>4Q FY2025 (Jun 2025)</w:t>
            </w:r>
          </w:p>
        </w:tc>
        <w:tc>
          <w:tcPr>
            <w:tcW w:type="dxa" w:w="1080"/>
          </w:tcPr>
          <w:p>
            <w:r>
              <w:rPr>
                <w:rFonts w:ascii="Calibri" w:hAnsi="Calibri"/>
                <w:sz w:val="22"/>
              </w:rPr>
              <w:t>$2.605B</w:t>
            </w:r>
          </w:p>
        </w:tc>
        <w:tc>
          <w:tcPr>
            <w:tcW w:type="dxa" w:w="1080"/>
          </w:tcPr>
          <w:p>
            <w:r>
              <w:rPr>
                <w:rFonts w:ascii="Calibri" w:hAnsi="Calibri"/>
                <w:sz w:val="22"/>
              </w:rPr>
              <w:t>$2.485B</w:t>
            </w:r>
          </w:p>
        </w:tc>
        <w:tc>
          <w:tcPr>
            <w:tcW w:type="dxa" w:w="1080"/>
          </w:tcPr>
          <w:p>
            <w:r>
              <w:rPr>
                <w:rFonts w:ascii="Calibri" w:hAnsi="Calibri"/>
                <w:b/>
                <w:color w:val="30A46C"/>
                <w:sz w:val="22"/>
              </w:rPr>
              <w:t>+4.8%</w:t>
            </w:r>
          </w:p>
        </w:tc>
        <w:tc>
          <w:tcPr>
            <w:tcW w:type="dxa" w:w="1080"/>
          </w:tcPr>
          <w:p>
            <w:r>
              <w:rPr>
                <w:rFonts w:ascii="Calibri" w:hAnsi="Calibri"/>
                <w:sz w:val="22"/>
              </w:rPr>
              <w:t>$1.748</w:t>
            </w:r>
          </w:p>
        </w:tc>
        <w:tc>
          <w:tcPr>
            <w:tcW w:type="dxa" w:w="1080"/>
          </w:tcPr>
          <w:p>
            <w:r>
              <w:rPr>
                <w:rFonts w:ascii="Calibri" w:hAnsi="Calibri"/>
                <w:sz w:val="22"/>
              </w:rPr>
              <w:t>$1.534</w:t>
            </w:r>
          </w:p>
        </w:tc>
        <w:tc>
          <w:tcPr>
            <w:tcW w:type="dxa" w:w="1080"/>
          </w:tcPr>
          <w:p>
            <w:r>
              <w:rPr>
                <w:rFonts w:ascii="Calibri" w:hAnsi="Calibri"/>
                <w:b/>
                <w:color w:val="30A46C"/>
                <w:sz w:val="22"/>
              </w:rPr>
              <w:t>+14.0%</w:t>
            </w:r>
          </w:p>
        </w:tc>
        <w:tc>
          <w:tcPr>
            <w:tcW w:type="dxa" w:w="1080"/>
          </w:tcPr>
          <w:p>
            <w:r>
              <w:rPr>
                <w:rFonts w:ascii="Calibri" w:hAnsi="Calibri"/>
                <w:b/>
                <w:color w:val="30A46C"/>
                <w:sz w:val="22"/>
              </w:rPr>
              <w:t>Beat / Beat</w:t>
            </w:r>
          </w:p>
        </w:tc>
      </w:tr>
      <w:tr>
        <w:tc>
          <w:tcPr>
            <w:tcW w:type="dxa" w:w="1080"/>
          </w:tcPr>
          <w:p>
            <w:r>
              <w:rPr>
                <w:rFonts w:ascii="Calibri" w:hAnsi="Calibri"/>
                <w:sz w:val="22"/>
              </w:rPr>
              <w:t>3Q FY2025 (Mar 2025)</w:t>
            </w:r>
          </w:p>
        </w:tc>
        <w:tc>
          <w:tcPr>
            <w:tcW w:type="dxa" w:w="1080"/>
          </w:tcPr>
          <w:p>
            <w:r>
              <w:rPr>
                <w:rFonts w:ascii="Calibri" w:hAnsi="Calibri"/>
                <w:sz w:val="22"/>
              </w:rPr>
              <w:t>$2.294B</w:t>
            </w:r>
          </w:p>
        </w:tc>
        <w:tc>
          <w:tcPr>
            <w:tcW w:type="dxa" w:w="1080"/>
          </w:tcPr>
          <w:p>
            <w:r>
              <w:rPr>
                <w:rFonts w:ascii="Calibri" w:hAnsi="Calibri"/>
                <w:sz w:val="22"/>
              </w:rPr>
              <w:t>$2.256B</w:t>
            </w:r>
          </w:p>
        </w:tc>
        <w:tc>
          <w:tcPr>
            <w:tcW w:type="dxa" w:w="1080"/>
          </w:tcPr>
          <w:p>
            <w:r>
              <w:rPr>
                <w:rFonts w:ascii="Calibri" w:hAnsi="Calibri"/>
                <w:b/>
                <w:color w:val="30A46C"/>
                <w:sz w:val="22"/>
              </w:rPr>
              <w:t>+1.7%</w:t>
            </w:r>
          </w:p>
        </w:tc>
        <w:tc>
          <w:tcPr>
            <w:tcW w:type="dxa" w:w="1080"/>
          </w:tcPr>
          <w:p>
            <w:r>
              <w:rPr>
                <w:rFonts w:ascii="Calibri" w:hAnsi="Calibri"/>
                <w:sz w:val="22"/>
              </w:rPr>
              <w:t>$1.397</w:t>
            </w:r>
          </w:p>
        </w:tc>
        <w:tc>
          <w:tcPr>
            <w:tcW w:type="dxa" w:w="1080"/>
          </w:tcPr>
          <w:p>
            <w:r>
              <w:rPr>
                <w:rFonts w:ascii="Calibri" w:hAnsi="Calibri"/>
                <w:sz w:val="22"/>
              </w:rPr>
              <w:t>$1.113</w:t>
            </w:r>
          </w:p>
        </w:tc>
        <w:tc>
          <w:tcPr>
            <w:tcW w:type="dxa" w:w="1080"/>
          </w:tcPr>
          <w:p>
            <w:r>
              <w:rPr>
                <w:rFonts w:ascii="Calibri" w:hAnsi="Calibri"/>
                <w:b/>
                <w:color w:val="30A46C"/>
                <w:sz w:val="22"/>
              </w:rPr>
              <w:t>+25.5%</w:t>
            </w:r>
          </w:p>
        </w:tc>
        <w:tc>
          <w:tcPr>
            <w:tcW w:type="dxa" w:w="1080"/>
          </w:tcPr>
          <w:p>
            <w:r>
              <w:rPr>
                <w:rFonts w:ascii="Calibri" w:hAnsi="Calibri"/>
                <w:b/>
                <w:color w:val="30A46C"/>
                <w:sz w:val="22"/>
              </w:rPr>
              <w:t>Beat / Beat</w:t>
            </w:r>
          </w:p>
        </w:tc>
      </w:tr>
      <w:tr>
        <w:tc>
          <w:tcPr>
            <w:tcW w:type="dxa" w:w="1080"/>
          </w:tcPr>
          <w:p>
            <w:r>
              <w:rPr>
                <w:rFonts w:ascii="Calibri" w:hAnsi="Calibri"/>
                <w:sz w:val="22"/>
              </w:rPr>
              <w:t>2Q FY2025 (Dec 2024)</w:t>
            </w:r>
          </w:p>
        </w:tc>
        <w:tc>
          <w:tcPr>
            <w:tcW w:type="dxa" w:w="1080"/>
          </w:tcPr>
          <w:p>
            <w:r>
              <w:rPr>
                <w:rFonts w:ascii="Calibri" w:hAnsi="Calibri"/>
                <w:sz w:val="22"/>
              </w:rPr>
              <w:t>$2.409B</w:t>
            </w:r>
          </w:p>
        </w:tc>
        <w:tc>
          <w:tcPr>
            <w:tcW w:type="dxa" w:w="1080"/>
          </w:tcPr>
          <w:p>
            <w:r>
              <w:rPr>
                <w:rFonts w:ascii="Calibri" w:hAnsi="Calibri"/>
                <w:sz w:val="22"/>
              </w:rPr>
              <w:t>$2.256B</w:t>
            </w:r>
          </w:p>
        </w:tc>
        <w:tc>
          <w:tcPr>
            <w:tcW w:type="dxa" w:w="1080"/>
          </w:tcPr>
          <w:p>
            <w:r>
              <w:rPr>
                <w:rFonts w:ascii="Calibri" w:hAnsi="Calibri"/>
                <w:b/>
                <w:color w:val="30A46C"/>
                <w:sz w:val="22"/>
              </w:rPr>
              <w:t>+6.8%</w:t>
            </w:r>
          </w:p>
        </w:tc>
        <w:tc>
          <w:tcPr>
            <w:tcW w:type="dxa" w:w="1080"/>
          </w:tcPr>
          <w:p>
            <w:r>
              <w:rPr>
                <w:rFonts w:ascii="Calibri" w:hAnsi="Calibri"/>
                <w:sz w:val="22"/>
              </w:rPr>
              <w:t>$1.207</w:t>
            </w:r>
          </w:p>
        </w:tc>
        <w:tc>
          <w:tcPr>
            <w:tcW w:type="dxa" w:w="1080"/>
          </w:tcPr>
          <w:p>
            <w:r>
              <w:rPr>
                <w:rFonts w:ascii="Calibri" w:hAnsi="Calibri"/>
                <w:sz w:val="22"/>
              </w:rPr>
              <w:t>$1.113</w:t>
            </w:r>
          </w:p>
        </w:tc>
        <w:tc>
          <w:tcPr>
            <w:tcW w:type="dxa" w:w="1080"/>
          </w:tcPr>
          <w:p>
            <w:r>
              <w:rPr>
                <w:rFonts w:ascii="Calibri" w:hAnsi="Calibri"/>
                <w:b/>
                <w:color w:val="30A46C"/>
                <w:sz w:val="22"/>
              </w:rPr>
              <w:t>+8.5%</w:t>
            </w:r>
          </w:p>
        </w:tc>
        <w:tc>
          <w:tcPr>
            <w:tcW w:type="dxa" w:w="1080"/>
          </w:tcPr>
          <w:p>
            <w:r>
              <w:rPr>
                <w:rFonts w:ascii="Calibri" w:hAnsi="Calibri"/>
                <w:b/>
                <w:color w:val="30A46C"/>
                <w:sz w:val="22"/>
              </w:rPr>
              <w:t>Beat / Beat</w:t>
            </w:r>
          </w:p>
        </w:tc>
      </w:tr>
      <w:tr>
        <w:tc>
          <w:tcPr>
            <w:tcW w:type="dxa" w:w="1080"/>
          </w:tcPr>
          <w:p>
            <w:r>
              <w:rPr>
                <w:rFonts w:ascii="Calibri" w:hAnsi="Calibri"/>
                <w:sz w:val="22"/>
              </w:rPr>
              <w:t>1Q FY2025 (Sep 2024)</w:t>
            </w:r>
          </w:p>
        </w:tc>
        <w:tc>
          <w:tcPr>
            <w:tcW w:type="dxa" w:w="1080"/>
          </w:tcPr>
          <w:p>
            <w:r>
              <w:rPr>
                <w:rFonts w:ascii="Calibri" w:hAnsi="Calibri"/>
                <w:sz w:val="22"/>
              </w:rPr>
              <w:t>$2.212B</w:t>
            </w:r>
          </w:p>
        </w:tc>
        <w:tc>
          <w:tcPr>
            <w:tcW w:type="dxa" w:w="1080"/>
          </w:tcPr>
          <w:p>
            <w:r>
              <w:rPr>
                <w:rFonts w:ascii="Calibri" w:hAnsi="Calibri"/>
                <w:sz w:val="22"/>
              </w:rPr>
              <w:t>$2.123B</w:t>
            </w:r>
          </w:p>
        </w:tc>
        <w:tc>
          <w:tcPr>
            <w:tcW w:type="dxa" w:w="1080"/>
          </w:tcPr>
          <w:p>
            <w:r>
              <w:rPr>
                <w:rFonts w:ascii="Calibri" w:hAnsi="Calibri"/>
                <w:b/>
                <w:color w:val="30A46C"/>
                <w:sz w:val="22"/>
              </w:rPr>
              <w:t>+4.2%</w:t>
            </w:r>
          </w:p>
        </w:tc>
        <w:tc>
          <w:tcPr>
            <w:tcW w:type="dxa" w:w="1080"/>
          </w:tcPr>
          <w:p>
            <w:r>
              <w:rPr>
                <w:rFonts w:ascii="Calibri" w:hAnsi="Calibri"/>
                <w:sz w:val="22"/>
              </w:rPr>
              <w:t>$0.766</w:t>
            </w:r>
          </w:p>
        </w:tc>
        <w:tc>
          <w:tcPr>
            <w:tcW w:type="dxa" w:w="1080"/>
          </w:tcPr>
          <w:p>
            <w:r>
              <w:rPr>
                <w:rFonts w:ascii="Calibri" w:hAnsi="Calibri"/>
                <w:sz w:val="22"/>
              </w:rPr>
              <w:t>$1.763</w:t>
            </w:r>
          </w:p>
        </w:tc>
        <w:tc>
          <w:tcPr>
            <w:tcW w:type="dxa" w:w="1080"/>
          </w:tcPr>
          <w:p>
            <w:r>
              <w:rPr>
                <w:rFonts w:ascii="Calibri" w:hAnsi="Calibri"/>
                <w:b/>
                <w:color w:val="E5484D"/>
                <w:sz w:val="22"/>
              </w:rPr>
              <w:t>-56.5%</w:t>
            </w:r>
          </w:p>
        </w:tc>
        <w:tc>
          <w:tcPr>
            <w:tcW w:type="dxa" w:w="1080"/>
          </w:tcPr>
          <w:p>
            <w:r>
              <w:rPr>
                <w:rFonts w:ascii="Calibri" w:hAnsi="Calibri"/>
                <w:b/>
                <w:color w:val="E5484D"/>
                <w:sz w:val="22"/>
              </w:rPr>
              <w:t>Beat Rev / Miss EPS</w:t>
            </w:r>
          </w:p>
        </w:tc>
      </w:tr>
      <w:tr>
        <w:tc>
          <w:tcPr>
            <w:tcW w:type="dxa" w:w="1080"/>
          </w:tcPr>
          <w:p>
            <w:r>
              <w:rPr>
                <w:rFonts w:ascii="Calibri" w:hAnsi="Calibri"/>
                <w:sz w:val="22"/>
              </w:rPr>
              <w:t>4Q FY2024 (Jun 2024)</w:t>
            </w:r>
          </w:p>
        </w:tc>
        <w:tc>
          <w:tcPr>
            <w:tcW w:type="dxa" w:w="1080"/>
          </w:tcPr>
          <w:p>
            <w:r>
              <w:rPr>
                <w:rFonts w:ascii="Calibri" w:hAnsi="Calibri"/>
                <w:sz w:val="22"/>
              </w:rPr>
              <w:t>$2.004B</w:t>
            </w:r>
          </w:p>
        </w:tc>
        <w:tc>
          <w:tcPr>
            <w:tcW w:type="dxa" w:w="1080"/>
          </w:tcPr>
          <w:p>
            <w:r>
              <w:rPr>
                <w:rFonts w:ascii="Calibri" w:hAnsi="Calibri"/>
                <w:sz w:val="22"/>
              </w:rPr>
              <w:t>$1.742B</w:t>
            </w:r>
          </w:p>
        </w:tc>
        <w:tc>
          <w:tcPr>
            <w:tcW w:type="dxa" w:w="1080"/>
          </w:tcPr>
          <w:p>
            <w:r>
              <w:rPr>
                <w:rFonts w:ascii="Calibri" w:hAnsi="Calibri"/>
                <w:b/>
                <w:color w:val="30A46C"/>
                <w:sz w:val="22"/>
              </w:rPr>
              <w:t>+15.0%</w:t>
            </w:r>
          </w:p>
        </w:tc>
        <w:tc>
          <w:tcPr>
            <w:tcW w:type="dxa" w:w="1080"/>
          </w:tcPr>
          <w:p>
            <w:r>
              <w:rPr>
                <w:rFonts w:ascii="Calibri" w:hAnsi="Calibri"/>
                <w:sz w:val="22"/>
              </w:rPr>
              <w:t>$0.429</w:t>
            </w:r>
          </w:p>
        </w:tc>
        <w:tc>
          <w:tcPr>
            <w:tcW w:type="dxa" w:w="1080"/>
          </w:tcPr>
          <w:p>
            <w:r>
              <w:rPr>
                <w:rFonts w:ascii="Calibri" w:hAnsi="Calibri"/>
                <w:sz w:val="22"/>
              </w:rPr>
              <w:t>$1.250</w:t>
            </w:r>
          </w:p>
        </w:tc>
        <w:tc>
          <w:tcPr>
            <w:tcW w:type="dxa" w:w="1080"/>
          </w:tcPr>
          <w:p>
            <w:r>
              <w:rPr>
                <w:rFonts w:ascii="Calibri" w:hAnsi="Calibri"/>
                <w:b/>
                <w:color w:val="E5484D"/>
                <w:sz w:val="22"/>
              </w:rPr>
              <w:t>-65.7%</w:t>
            </w:r>
          </w:p>
        </w:tc>
        <w:tc>
          <w:tcPr>
            <w:tcW w:type="dxa" w:w="1080"/>
          </w:tcPr>
          <w:p>
            <w:r>
              <w:rPr>
                <w:rFonts w:ascii="Calibri" w:hAnsi="Calibri"/>
                <w:b/>
                <w:color w:val="E5484D"/>
                <w:sz w:val="22"/>
              </w:rPr>
              <w:t>Beat Rev / Miss EPS</w:t>
            </w:r>
          </w:p>
        </w:tc>
      </w:tr>
    </w:tbl>
    <w:p>
      <w:r>
        <w:rPr>
          <w:rFonts w:ascii="Calibri" w:hAnsi="Calibri"/>
          <w:color w:val="525866"/>
          <w:sz w:val="22"/>
        </w:rPr>
        <w:t>Source: Visible Alpha Consensus and Actuals Data. Note: 1Q FY2025 and 4Q FY2024 EPS misses reflect the transition period when WDC was still restructuring post-SanDisk spin; the company has beaten on both revenue and EPS in each of the last 6 consecutive quarters. The consistent beat pattern — particularly on EPS where beats have averaged +10–15% — suggests management guides conservatively and the Street has not fully caught up.</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has not formally revised Q4 guidance since the April 30 earnings call, but post-earnings conference appearances (BofA June 2, Evercore June 3) strongly reaffirmed and qualitatively strengthened the outlook. </w:t>
      </w:r>
      <w:r>
        <w:rPr>
          <w:rFonts w:ascii="Calibri" w:hAnsi="Calibri"/>
          <w:b/>
          <w:color w:val="525866"/>
          <w:sz w:val="22"/>
        </w:rPr>
        <w:t>Tone has shifted from confident to increasingly bullish, with the CFO explicitly stating forecasts are "continuing to go up" and gross margin improvement is expected "for many, many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FY2026 Earnings Call,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Revenue (4Q FY2026)</w:t>
            </w:r>
          </w:p>
        </w:tc>
        <w:tc>
          <w:tcPr>
            <w:tcW w:type="dxa" w:w="1728"/>
          </w:tcPr>
          <w:p>
            <w:r>
              <w:rPr>
                <w:rFonts w:ascii="Calibri" w:hAnsi="Calibri"/>
                <w:sz w:val="22"/>
              </w:rPr>
              <w:t>~$3.65B–$3.85B</w:t>
            </w:r>
          </w:p>
        </w:tc>
        <w:tc>
          <w:tcPr>
            <w:tcW w:type="dxa" w:w="1728"/>
          </w:tcPr>
          <w:p>
            <w:r>
              <w:rPr>
                <w:rFonts w:ascii="Calibri" w:hAnsi="Calibri"/>
                <w:sz w:val="22"/>
              </w:rPr>
              <w:t>—</w:t>
            </w:r>
          </w:p>
        </w:tc>
        <w:tc>
          <w:tcPr>
            <w:tcW w:type="dxa" w:w="1728"/>
          </w:tcPr>
          <w:p>
            <w:r>
              <w:rPr>
                <w:rFonts w:ascii="Calibri" w:hAnsi="Calibri"/>
                <w:sz w:val="22"/>
              </w:rPr>
              <w:t>$3.714B</w:t>
            </w:r>
          </w:p>
        </w:tc>
        <w:tc>
          <w:tcPr>
            <w:tcW w:type="dxa" w:w="1728"/>
          </w:tcPr>
          <w:p>
            <w:r>
              <w:rPr>
                <w:rFonts w:ascii="Calibri" w:hAnsi="Calibri"/>
                <w:sz w:val="22"/>
              </w:rPr>
              <w:t>No formal revision; BofA/Evercore conferences (Jun 2–3) reaffirmed positive trajectory. Consensus tracking slightly below midpoint.</w:t>
            </w:r>
          </w:p>
        </w:tc>
      </w:tr>
      <w:tr>
        <w:tc>
          <w:tcPr>
            <w:tcW w:type="dxa" w:w="1728"/>
          </w:tcPr>
          <w:p>
            <w:r>
              <w:rPr>
                <w:rFonts w:ascii="Calibri" w:hAnsi="Calibri"/>
                <w:sz w:val="22"/>
              </w:rPr>
              <w:t>Non-GAAP EPS (4Q FY2026)</w:t>
            </w:r>
          </w:p>
        </w:tc>
        <w:tc>
          <w:tcPr>
            <w:tcW w:type="dxa" w:w="1728"/>
          </w:tcPr>
          <w:p>
            <w:r>
              <w:rPr>
                <w:rFonts w:ascii="Calibri" w:hAnsi="Calibri"/>
                <w:sz w:val="22"/>
              </w:rPr>
              <w:t>~$3.15–$3.55</w:t>
            </w:r>
          </w:p>
        </w:tc>
        <w:tc>
          <w:tcPr>
            <w:tcW w:type="dxa" w:w="1728"/>
          </w:tcPr>
          <w:p>
            <w:r>
              <w:rPr>
                <w:rFonts w:ascii="Calibri" w:hAnsi="Calibri"/>
                <w:sz w:val="22"/>
              </w:rPr>
              <w:t>—</w:t>
            </w:r>
          </w:p>
        </w:tc>
        <w:tc>
          <w:tcPr>
            <w:tcW w:type="dxa" w:w="1728"/>
          </w:tcPr>
          <w:p>
            <w:r>
              <w:rPr>
                <w:rFonts w:ascii="Calibri" w:hAnsi="Calibri"/>
                <w:sz w:val="22"/>
              </w:rPr>
              <w:t>$3.350</w:t>
            </w:r>
          </w:p>
        </w:tc>
        <w:tc>
          <w:tcPr>
            <w:tcW w:type="dxa" w:w="1728"/>
          </w:tcPr>
          <w:p>
            <w:r>
              <w:rPr>
                <w:rFonts w:ascii="Calibri" w:hAnsi="Calibri"/>
                <w:sz w:val="22"/>
              </w:rPr>
              <w:t>No formal revision; consensus at midpoint of guidance range.</w:t>
            </w:r>
          </w:p>
        </w:tc>
      </w:tr>
      <w:tr>
        <w:tc>
          <w:tcPr>
            <w:tcW w:type="dxa" w:w="1728"/>
          </w:tcPr>
          <w:p>
            <w:r>
              <w:rPr>
                <w:rFonts w:ascii="Calibri" w:hAnsi="Calibri"/>
                <w:sz w:val="22"/>
              </w:rPr>
              <w:t>Non-GAAP Gross Margin (4Q FY2026)</w:t>
            </w:r>
          </w:p>
        </w:tc>
        <w:tc>
          <w:tcPr>
            <w:tcW w:type="dxa" w:w="1728"/>
          </w:tcPr>
          <w:p>
            <w:r>
              <w:rPr>
                <w:rFonts w:ascii="Calibri" w:hAnsi="Calibri"/>
                <w:sz w:val="22"/>
              </w:rPr>
              <w:t>51%–52%</w:t>
            </w:r>
          </w:p>
        </w:tc>
        <w:tc>
          <w:tcPr>
            <w:tcW w:type="dxa" w:w="1728"/>
          </w:tcPr>
          <w:p>
            <w:r>
              <w:rPr>
                <w:rFonts w:ascii="Calibri" w:hAnsi="Calibri"/>
                <w:sz w:val="22"/>
              </w:rPr>
              <w:t>—</w:t>
            </w:r>
          </w:p>
        </w:tc>
        <w:tc>
          <w:tcPr>
            <w:tcW w:type="dxa" w:w="1728"/>
          </w:tcPr>
          <w:p>
            <w:r>
              <w:rPr>
                <w:rFonts w:ascii="Calibri" w:hAnsi="Calibri"/>
                <w:sz w:val="22"/>
              </w:rPr>
              <w:t>~51.5% (analyst est.)</w:t>
            </w:r>
          </w:p>
        </w:tc>
        <w:tc>
          <w:tcPr>
            <w:tcW w:type="dxa" w:w="1728"/>
          </w:tcPr>
          <w:p>
            <w:r>
              <w:rPr>
                <w:rFonts w:ascii="Calibri" w:hAnsi="Calibri"/>
                <w:sz w:val="22"/>
              </w:rPr>
              <w:t>CFO stated at Evercore (Jun 3): "further gross margin improvements for many, many quarters to go." Incremental GMs running 70–75% YoY.</w:t>
            </w:r>
          </w:p>
        </w:tc>
      </w:tr>
      <w:tr>
        <w:tc>
          <w:tcPr>
            <w:tcW w:type="dxa" w:w="1728"/>
          </w:tcPr>
          <w:p>
            <w:r>
              <w:rPr>
                <w:rFonts w:ascii="Calibri" w:hAnsi="Calibri"/>
                <w:sz w:val="22"/>
              </w:rPr>
              <w:t>Exabyte Growth (Long-Term CAGR)</w:t>
            </w:r>
          </w:p>
        </w:tc>
        <w:tc>
          <w:tcPr>
            <w:tcW w:type="dxa" w:w="1728"/>
          </w:tcPr>
          <w:p>
            <w:r>
              <w:rPr>
                <w:rFonts w:ascii="Calibri" w:hAnsi="Calibri"/>
                <w:sz w:val="22"/>
              </w:rPr>
              <w:t>&gt;25% CAGR (3–5 yr)</w:t>
            </w:r>
          </w:p>
        </w:tc>
        <w:tc>
          <w:tcPr>
            <w:tcW w:type="dxa" w:w="1728"/>
          </w:tcPr>
          <w:p>
            <w:r>
              <w:rPr>
                <w:rFonts w:ascii="Calibri" w:hAnsi="Calibri"/>
                <w:sz w:val="22"/>
              </w:rPr>
              <w:t>Strengthened to "well above 25%" at BofA/Evercore</w:t>
            </w:r>
          </w:p>
        </w:tc>
        <w:tc>
          <w:tcPr>
            <w:tcW w:type="dxa" w:w="1728"/>
          </w:tcPr>
          <w:p>
            <w:r>
              <w:rPr>
                <w:rFonts w:ascii="Calibri" w:hAnsi="Calibri"/>
                <w:sz w:val="22"/>
              </w:rPr>
              <w:t>N/A (not a consensus KPI)</w:t>
            </w:r>
          </w:p>
        </w:tc>
        <w:tc>
          <w:tcPr>
            <w:tcW w:type="dxa" w:w="1728"/>
          </w:tcPr>
          <w:p>
            <w:r>
              <w:rPr>
                <w:rFonts w:ascii="Calibri" w:hAnsi="Calibri"/>
                <w:sz w:val="22"/>
              </w:rPr>
              <w:t>↑ Qualitatively raised at BofA (Jun 2) and Evercore (Jun 3); CFO stated "high conviction" and "getting more and more comfortable" with &gt;25% trajectory.</w:t>
            </w:r>
          </w:p>
        </w:tc>
      </w:tr>
      <w:tr>
        <w:tc>
          <w:tcPr>
            <w:tcW w:type="dxa" w:w="1728"/>
          </w:tcPr>
          <w:p>
            <w:r>
              <w:rPr>
                <w:rFonts w:ascii="Calibri" w:hAnsi="Calibri"/>
                <w:sz w:val="22"/>
              </w:rPr>
              <w:t>ASP/TB (FY2026 full year)</w:t>
            </w:r>
          </w:p>
        </w:tc>
        <w:tc>
          <w:tcPr>
            <w:tcW w:type="dxa" w:w="1728"/>
          </w:tcPr>
          <w:p>
            <w:r>
              <w:rPr>
                <w:rFonts w:ascii="Calibri" w:hAnsi="Calibri"/>
                <w:sz w:val="22"/>
              </w:rPr>
              <w:t>Mid-to-high single-digit YoY increase all 4 quarters</w:t>
            </w:r>
          </w:p>
        </w:tc>
        <w:tc>
          <w:tcPr>
            <w:tcW w:type="dxa" w:w="1728"/>
          </w:tcPr>
          <w:p>
            <w:r>
              <w:rPr>
                <w:rFonts w:ascii="Calibri" w:hAnsi="Calibri"/>
                <w:sz w:val="22"/>
              </w:rPr>
              <w:t>—</w:t>
            </w:r>
          </w:p>
        </w:tc>
        <w:tc>
          <w:tcPr>
            <w:tcW w:type="dxa" w:w="1728"/>
          </w:tcPr>
          <w:p>
            <w:r>
              <w:rPr>
                <w:rFonts w:ascii="Calibri" w:hAnsi="Calibri"/>
                <w:sz w:val="22"/>
              </w:rPr>
              <w:t>~$15.45 (4Q est.)</w:t>
            </w:r>
          </w:p>
        </w:tc>
        <w:tc>
          <w:tcPr>
            <w:tcW w:type="dxa" w:w="1728"/>
          </w:tcPr>
          <w:p>
            <w:r>
              <w:rPr>
                <w:rFonts w:ascii="Calibri" w:hAnsi="Calibri"/>
                <w:sz w:val="22"/>
              </w:rPr>
              <w:t>Q3 came in at high end (+9% YoY). Q4 consensus implies continued high-end performance.</w:t>
            </w:r>
          </w:p>
        </w:tc>
      </w:tr>
      <w:tr>
        <w:tc>
          <w:tcPr>
            <w:tcW w:type="dxa" w:w="1728"/>
          </w:tcPr>
          <w:p>
            <w:r>
              <w:rPr>
                <w:rFonts w:ascii="Calibri" w:hAnsi="Calibri"/>
                <w:sz w:val="22"/>
              </w:rPr>
              <w:t>SanDisk Stake Monetization</w:t>
            </w:r>
          </w:p>
        </w:tc>
        <w:tc>
          <w:tcPr>
            <w:tcW w:type="dxa" w:w="1728"/>
          </w:tcPr>
          <w:p>
            <w:r>
              <w:rPr>
                <w:rFonts w:ascii="Calibri" w:hAnsi="Calibri"/>
                <w:sz w:val="22"/>
              </w:rPr>
              <w:t>Remaining ~1.7M shares to be monetized before end of CY2026</w:t>
            </w:r>
          </w:p>
        </w:tc>
        <w:tc>
          <w:tcPr>
            <w:tcW w:type="dxa" w:w="1728"/>
          </w:tcPr>
          <w:p>
            <w:r>
              <w:rPr>
                <w:rFonts w:ascii="Calibri" w:hAnsi="Calibri"/>
                <w:sz w:val="22"/>
              </w:rPr>
              <w:t>~600K shares exchanged via 8-K (Jun 11, 2026)</w:t>
            </w:r>
          </w:p>
        </w:tc>
        <w:tc>
          <w:tcPr>
            <w:tcW w:type="dxa" w:w="1728"/>
          </w:tcPr>
          <w:p>
            <w:r>
              <w:rPr>
                <w:rFonts w:ascii="Calibri" w:hAnsi="Calibri"/>
                <w:sz w:val="22"/>
              </w:rPr>
              <w:t>N/A</w:t>
            </w:r>
          </w:p>
        </w:tc>
        <w:tc>
          <w:tcPr>
            <w:tcW w:type="dxa" w:w="1728"/>
          </w:tcPr>
          <w:p>
            <w:r>
              <w:rPr>
                <w:rFonts w:ascii="Calibri" w:hAnsi="Calibri"/>
                <w:sz w:val="22"/>
              </w:rPr>
              <w:t>↑ Partial execution confirmed via 8-K filed Jun 11, 2026. Remaining ~1.1M shares still to be monetized.</w:t>
            </w:r>
          </w:p>
        </w:tc>
      </w:tr>
      <w:tr>
        <w:tc>
          <w:tcPr>
            <w:tcW w:type="dxa" w:w="1728"/>
          </w:tcPr>
          <w:p>
            <w:r>
              <w:rPr>
                <w:rFonts w:ascii="Calibri" w:hAnsi="Calibri"/>
                <w:sz w:val="22"/>
              </w:rPr>
              <w:t>CapEx (Long-Term)</w:t>
            </w:r>
          </w:p>
        </w:tc>
        <w:tc>
          <w:tcPr>
            <w:tcW w:type="dxa" w:w="1728"/>
          </w:tcPr>
          <w:p>
            <w:r>
              <w:rPr>
                <w:rFonts w:ascii="Calibri" w:hAnsi="Calibri"/>
                <w:sz w:val="22"/>
              </w:rPr>
              <w:t>4–6% of revenue (heads &amp; media only; no unit capacity additions)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BofA and Evercore conferences.</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higher since the Q3 print — revenue up ~0.5% and EPS up ~1.1% from the post-earnings baseline — tracking closely with guidance rather than diverging. </w:t>
      </w:r>
      <w:r>
        <w:rPr>
          <w:rFonts w:ascii="Calibri" w:hAnsi="Calibri"/>
          <w:b/>
          <w:color w:val="525866"/>
          <w:sz w:val="22"/>
        </w:rPr>
        <w:t>The tight alignment between consensus and guidance midpoints suggests limited cushion for upside surprise on the revenue line, but the EPS beat pattern (historically 10–15% above consensus) leaves room for another EPS outperformance.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Q3 Earnings (May 7,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30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4Q FY2026</w:t>
            </w:r>
          </w:p>
        </w:tc>
        <w:tc>
          <w:tcPr>
            <w:tcW w:type="dxa" w:w="1080"/>
          </w:tcPr>
          <w:p>
            <w:r>
              <w:rPr>
                <w:rFonts w:ascii="Calibri" w:hAnsi="Calibri"/>
                <w:sz w:val="22"/>
              </w:rPr>
              <w:t>$3.696B</w:t>
            </w:r>
          </w:p>
        </w:tc>
        <w:tc>
          <w:tcPr>
            <w:tcW w:type="dxa" w:w="1080"/>
          </w:tcPr>
          <w:p>
            <w:r>
              <w:rPr>
                <w:rFonts w:ascii="Calibri" w:hAnsi="Calibri"/>
                <w:sz w:val="22"/>
              </w:rPr>
              <w:t>$3.714B</w:t>
            </w:r>
          </w:p>
        </w:tc>
        <w:tc>
          <w:tcPr>
            <w:tcW w:type="dxa" w:w="1080"/>
          </w:tcPr>
          <w:p>
            <w:r>
              <w:rPr>
                <w:rFonts w:ascii="Calibri" w:hAnsi="Calibri"/>
                <w:b/>
                <w:color w:val="30A46C"/>
                <w:sz w:val="22"/>
              </w:rPr>
              <w:t>+0.5%</w:t>
            </w:r>
          </w:p>
        </w:tc>
        <w:tc>
          <w:tcPr>
            <w:tcW w:type="dxa" w:w="1080"/>
          </w:tcPr>
          <w:p>
            <w:r>
              <w:rPr>
                <w:rFonts w:ascii="Calibri" w:hAnsi="Calibri"/>
                <w:sz w:val="22"/>
              </w:rPr>
              <w:t>~$3.65–$3.85B (mid $3.75B)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vs. mid</w:t>
            </w:r>
          </w:p>
        </w:tc>
      </w:tr>
      <w:tr>
        <w:tc>
          <w:tcPr>
            <w:tcW w:type="dxa" w:w="1080"/>
          </w:tcPr>
          <w:p>
            <w:r>
              <w:rPr>
                <w:rFonts w:ascii="Calibri" w:hAnsi="Calibri"/>
                <w:sz w:val="22"/>
              </w:rPr>
              <w:t>Revenue — FY2026</w:t>
            </w:r>
          </w:p>
        </w:tc>
        <w:tc>
          <w:tcPr>
            <w:tcW w:type="dxa" w:w="1080"/>
          </w:tcPr>
          <w:p>
            <w:r>
              <w:rPr>
                <w:rFonts w:ascii="Calibri" w:hAnsi="Calibri"/>
                <w:sz w:val="22"/>
              </w:rPr>
              <w:t>$12.868B</w:t>
            </w:r>
          </w:p>
        </w:tc>
        <w:tc>
          <w:tcPr>
            <w:tcW w:type="dxa" w:w="1080"/>
          </w:tcPr>
          <w:p>
            <w:r>
              <w:rPr>
                <w:rFonts w:ascii="Calibri" w:hAnsi="Calibri"/>
                <w:sz w:val="22"/>
              </w:rPr>
              <w:t>$12.886B</w:t>
            </w:r>
          </w:p>
        </w:tc>
        <w:tc>
          <w:tcPr>
            <w:tcW w:type="dxa" w:w="1080"/>
          </w:tcPr>
          <w:p>
            <w:r>
              <w:rPr>
                <w:rFonts w:ascii="Calibri" w:hAnsi="Calibri"/>
                <w:sz w:val="22"/>
              </w:rPr>
              <w:t>+0.1%</w:t>
            </w:r>
          </w:p>
        </w:tc>
        <w:tc>
          <w:tcPr>
            <w:tcW w:type="dxa" w:w="1080"/>
          </w:tcPr>
          <w:p>
            <w:r>
              <w:rPr>
                <w:rFonts w:ascii="Calibri" w:hAnsi="Calibri"/>
                <w:sz w:val="22"/>
              </w:rPr>
              <w:t>N/A (full-year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4Q FY2026</w:t>
            </w:r>
          </w:p>
        </w:tc>
        <w:tc>
          <w:tcPr>
            <w:tcW w:type="dxa" w:w="1080"/>
          </w:tcPr>
          <w:p>
            <w:r>
              <w:rPr>
                <w:rFonts w:ascii="Calibri" w:hAnsi="Calibri"/>
                <w:sz w:val="22"/>
              </w:rPr>
              <w:t>$3.314</w:t>
            </w:r>
          </w:p>
        </w:tc>
        <w:tc>
          <w:tcPr>
            <w:tcW w:type="dxa" w:w="1080"/>
          </w:tcPr>
          <w:p>
            <w:r>
              <w:rPr>
                <w:rFonts w:ascii="Calibri" w:hAnsi="Calibri"/>
                <w:sz w:val="22"/>
              </w:rPr>
              <w:t>$3.350</w:t>
            </w:r>
          </w:p>
        </w:tc>
        <w:tc>
          <w:tcPr>
            <w:tcW w:type="dxa" w:w="1080"/>
          </w:tcPr>
          <w:p>
            <w:r>
              <w:rPr>
                <w:rFonts w:ascii="Calibri" w:hAnsi="Calibri"/>
                <w:b/>
                <w:color w:val="30A46C"/>
                <w:sz w:val="22"/>
              </w:rPr>
              <w:t>+1.1%</w:t>
            </w:r>
          </w:p>
        </w:tc>
        <w:tc>
          <w:tcPr>
            <w:tcW w:type="dxa" w:w="1080"/>
          </w:tcPr>
          <w:p>
            <w:r>
              <w:rPr>
                <w:rFonts w:ascii="Calibri" w:hAnsi="Calibri"/>
                <w:sz w:val="22"/>
              </w:rPr>
              <w:t>~$3.15–$3.55 (mid $3.35)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mid</w:t>
            </w:r>
          </w:p>
        </w:tc>
      </w:tr>
      <w:tr>
        <w:tc>
          <w:tcPr>
            <w:tcW w:type="dxa" w:w="1080"/>
          </w:tcPr>
          <w:p>
            <w:r>
              <w:rPr>
                <w:rFonts w:ascii="Calibri" w:hAnsi="Calibri"/>
                <w:sz w:val="22"/>
              </w:rPr>
              <w:t>Non-GAAP EPS — FY2026</w:t>
            </w:r>
          </w:p>
        </w:tc>
        <w:tc>
          <w:tcPr>
            <w:tcW w:type="dxa" w:w="1080"/>
          </w:tcPr>
          <w:p>
            <w:r>
              <w:rPr>
                <w:rFonts w:ascii="Calibri" w:hAnsi="Calibri"/>
                <w:sz w:val="22"/>
              </w:rPr>
              <w:t>$10.045</w:t>
            </w:r>
          </w:p>
        </w:tc>
        <w:tc>
          <w:tcPr>
            <w:tcW w:type="dxa" w:w="1080"/>
          </w:tcPr>
          <w:p>
            <w:r>
              <w:rPr>
                <w:rFonts w:ascii="Calibri" w:hAnsi="Calibri"/>
                <w:sz w:val="22"/>
              </w:rPr>
              <w:t>$10.071</w:t>
            </w:r>
          </w:p>
        </w:tc>
        <w:tc>
          <w:tcPr>
            <w:tcW w:type="dxa" w:w="1080"/>
          </w:tcPr>
          <w:p>
            <w:r>
              <w:rPr>
                <w:rFonts w:ascii="Calibri" w:hAnsi="Calibri"/>
                <w:sz w:val="22"/>
              </w:rPr>
              <w:t>+0.3%</w:t>
            </w:r>
          </w:p>
        </w:tc>
        <w:tc>
          <w:tcPr>
            <w:tcW w:type="dxa" w:w="1080"/>
          </w:tcPr>
          <w:p>
            <w:r>
              <w:rPr>
                <w:rFonts w:ascii="Calibri" w:hAnsi="Calibri"/>
                <w:sz w:val="22"/>
              </w:rPr>
              <w:t>N/A (full-year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Post-earnings baseline uses consensus as of May 7, 2026 (approximately 5 trading days after the April 30 Q3 FY2026 earnings release). Current consensus as of August 4, 2026. Estimate revisions have been modest and positive, consistent with management's qualitative reaffirmations at the BofA and Evercore conferences in early June. The near-zero gap between consensus and guidance midpoints on both revenue and EPS means there is limited built-in cushion for a revenue beat, but WDC's historical pattern of EPS beats averaging 10–15% above consensus suggests the Street may again be underestimating operating leverage.</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WDC surged ~72% from the April 30 earnings date to its June 18 peak (~$746), dramatically outperforming SOXX (+39%) and SPY (+4%) over the same window, driven by multiple expansion and positive estimate revisions. </w:t>
      </w:r>
      <w:r>
        <w:rPr>
          <w:rFonts w:ascii="Calibri" w:hAnsi="Calibri"/>
          <w:b/>
          <w:color w:val="525866"/>
          <w:sz w:val="22"/>
        </w:rPr>
        <w:t>The subsequent ~26% pullback from peak to ~$545 (Aug 4) was driven by sentiment/macro (CXMT IPO, Chinese chip competition fears, rate concerns) rather than fundamental deterioration — creating a potentially attractive re-entry setup into the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WDC vs. SOXX vs. S&amp;P 500 — Indexed to 100 at April 30, 2026 (Q3 FY2026 Earnings Date). Source: Yahoo Finance / Stock Price Data.</w:t>
      </w:r>
    </w:p>
    <w:p>
      <w:r>
        <w:rPr>
          <w:rFonts w:ascii="Calibri" w:hAnsi="Calibri"/>
          <w:color w:val="525866"/>
          <w:sz w:val="22"/>
        </w:rPr>
        <w:t>Key Events During the Period:</w:t>
      </w:r>
    </w:p>
    <w:p>
      <w:pPr>
        <w:pStyle w:val="ListBullet"/>
        <w:ind w:left="360" w:hanging="360"/>
      </w:pPr>
      <w:r>
        <w:rPr>
          <w:rFonts w:ascii="Calibri" w:hAnsi="Calibri"/>
          <w:b/>
          <w:color w:val="525866"/>
          <w:sz w:val="22"/>
        </w:rPr>
        <w:t xml:space="preserve">Apr 30, 2026: </w:t>
      </w:r>
      <w:r>
        <w:rPr>
          <w:rFonts w:ascii="Calibri" w:hAnsi="Calibri"/>
          <w:color w:val="525866"/>
          <w:sz w:val="22"/>
        </w:rPr>
        <w:t>WDC reports Q3 FY2026 — beats on all metrics, gross margin crosses 50% for first time, Q4 guidance well above Street. Stock initially declined in after-hours despite the beat (elevated expectations already priced in after ~10% pre-earnings rally on Seagate's results).</w:t>
      </w:r>
    </w:p>
    <w:p>
      <w:pPr>
        <w:pStyle w:val="ListBullet"/>
        <w:ind w:left="360" w:hanging="360"/>
      </w:pPr>
      <w:r>
        <w:rPr>
          <w:rFonts w:ascii="Calibri" w:hAnsi="Calibri"/>
          <w:b/>
          <w:color w:val="525866"/>
          <w:sz w:val="22"/>
        </w:rPr>
        <w:t xml:space="preserve">Jun 2–3, 2026: </w:t>
      </w:r>
      <w:r>
        <w:rPr>
          <w:rFonts w:ascii="Calibri" w:hAnsi="Calibri"/>
          <w:color w:val="525866"/>
          <w:sz w:val="22"/>
        </w:rPr>
        <w:t>CFO Sennesael presents at BofA Global Tech Conference and Evercore TMT Conference, strongly reaffirming demand, pricing, and margin trajectory. Stock rallied sharply.</w:t>
      </w:r>
    </w:p>
    <w:p>
      <w:pPr>
        <w:pStyle w:val="ListBullet"/>
        <w:ind w:left="360" w:hanging="360"/>
      </w:pPr>
      <w:r>
        <w:rPr>
          <w:rFonts w:ascii="Calibri" w:hAnsi="Calibri"/>
          <w:b/>
          <w:color w:val="525866"/>
          <w:sz w:val="22"/>
        </w:rPr>
        <w:t xml:space="preserve">Jun 11, 2026: </w:t>
      </w:r>
      <w:r>
        <w:rPr>
          <w:rFonts w:ascii="Calibri" w:hAnsi="Calibri"/>
          <w:color w:val="525866"/>
          <w:sz w:val="22"/>
        </w:rPr>
        <w:t>WDC files 8-K disclosing exchange of ~600K SanDisk shares for WDC common stock (partial SanDisk stake monetization). Stock +4.6%.</w:t>
      </w:r>
    </w:p>
    <w:p>
      <w:pPr>
        <w:pStyle w:val="ListBullet"/>
        <w:ind w:left="360" w:hanging="360"/>
      </w:pPr>
      <w:r>
        <w:rPr>
          <w:rFonts w:ascii="Calibri" w:hAnsi="Calibri"/>
          <w:b/>
          <w:color w:val="525866"/>
          <w:sz w:val="22"/>
        </w:rPr>
        <w:t xml:space="preserve">Jun 15, 2026: </w:t>
      </w:r>
      <w:r>
        <w:rPr>
          <w:rFonts w:ascii="Calibri" w:hAnsi="Calibri"/>
          <w:color w:val="525866"/>
          <w:sz w:val="22"/>
        </w:rPr>
        <w:t>Morgan Stanley names WDC and Seagate as top picks amid AI storage boom. Stock +16% on the day (also benefiting from US-Iran peace deal risk-on sentiment).</w:t>
      </w:r>
    </w:p>
    <w:p>
      <w:pPr>
        <w:pStyle w:val="ListBullet"/>
        <w:ind w:left="360" w:hanging="360"/>
      </w:pPr>
      <w:r>
        <w:rPr>
          <w:rFonts w:ascii="Calibri" w:hAnsi="Calibri"/>
          <w:b/>
          <w:color w:val="525866"/>
          <w:sz w:val="22"/>
        </w:rPr>
        <w:t xml:space="preserve">Jun 18, 2026: </w:t>
      </w:r>
      <w:r>
        <w:rPr>
          <w:rFonts w:ascii="Calibri" w:hAnsi="Calibri"/>
          <w:color w:val="525866"/>
          <w:sz w:val="22"/>
        </w:rPr>
        <w:t>WDC reaches ~$746 peak — approximately +72% from April 30 earnings date.</w:t>
      </w:r>
    </w:p>
    <w:p>
      <w:pPr>
        <w:pStyle w:val="ListBullet"/>
        <w:ind w:left="360" w:hanging="360"/>
      </w:pPr>
      <w:r>
        <w:rPr>
          <w:rFonts w:ascii="Calibri" w:hAnsi="Calibri"/>
          <w:b/>
          <w:color w:val="525866"/>
          <w:sz w:val="22"/>
        </w:rPr>
        <w:t xml:space="preserve">Jul 2, 2026: </w:t>
      </w:r>
      <w:r>
        <w:rPr>
          <w:rFonts w:ascii="Calibri" w:hAnsi="Calibri"/>
          <w:color w:val="525866"/>
          <w:sz w:val="22"/>
        </w:rPr>
        <w:t>Semiconductor stocks fall broadly; SanDisk (SNDK) down 14%. WDC pulls back from highs.</w:t>
      </w:r>
    </w:p>
    <w:p>
      <w:pPr>
        <w:pStyle w:val="ListBullet"/>
        <w:ind w:left="360" w:hanging="360"/>
      </w:pPr>
      <w:r>
        <w:rPr>
          <w:rFonts w:ascii="Calibri" w:hAnsi="Calibri"/>
          <w:b/>
          <w:color w:val="525866"/>
          <w:sz w:val="22"/>
        </w:rPr>
        <w:t xml:space="preserve">Jul 27–28, 2026: </w:t>
      </w:r>
      <w:r>
        <w:rPr>
          <w:rFonts w:ascii="Calibri" w:hAnsi="Calibri"/>
          <w:color w:val="525866"/>
          <w:sz w:val="22"/>
        </w:rPr>
        <w:t>WDC falls ~8% as CXMT IPO and reports of Chinese immersion DUV lithography machine production trigger broad semiconductor selloff. Micron (MU) falls 9–10%.</w:t>
      </w:r>
    </w:p>
    <w:p>
      <w:pPr>
        <w:pStyle w:val="ListBullet"/>
        <w:ind w:left="360" w:hanging="360"/>
      </w:pPr>
      <w:r>
        <w:rPr>
          <w:rFonts w:ascii="Calibri" w:hAnsi="Calibri"/>
          <w:b/>
          <w:color w:val="525866"/>
          <w:sz w:val="22"/>
        </w:rPr>
        <w:t xml:space="preserve">Jul 28, 2026: </w:t>
      </w:r>
      <w:r>
        <w:rPr>
          <w:rFonts w:ascii="Calibri" w:hAnsi="Calibri"/>
          <w:color w:val="525866"/>
          <w:sz w:val="22"/>
        </w:rPr>
        <w:t>Seagate (STX) reports blowout Q4 FY2026 results (EPS $5.71 vs. $5.08 est.; revenue $3.63B vs. $3.49B est.; Q1 FY2027 EPS guide $7.30 vs. $5.80 est.). STX +8.8%. Positive read-through for WDC.</w:t>
      </w:r>
    </w:p>
    <w:p>
      <w:pPr>
        <w:pStyle w:val="ListBullet"/>
        <w:ind w:left="360" w:hanging="360"/>
      </w:pPr>
      <w:r>
        <w:rPr>
          <w:rFonts w:ascii="Calibri" w:hAnsi="Calibri"/>
          <w:b/>
          <w:color w:val="525866"/>
          <w:sz w:val="22"/>
        </w:rPr>
        <w:t xml:space="preserve">Jul 30, 2026: </w:t>
      </w:r>
      <w:r>
        <w:rPr>
          <w:rFonts w:ascii="Calibri" w:hAnsi="Calibri"/>
          <w:color w:val="525866"/>
          <w:sz w:val="22"/>
        </w:rPr>
        <w:t>Semiconductor stocks rally broadly (+7–8% for SOX) on strong Lam Research, Microsoft, and Arm earnings. WDC +15% on the day.</w:t>
      </w:r>
    </w:p>
    <w:p>
      <w:r>
        <w:rPr>
          <w:rFonts w:ascii="Calibri" w:hAnsi="Calibri"/>
          <w:b/>
          <w:color w:val="525866"/>
          <w:sz w:val="22"/>
        </w:rPr>
        <w:t xml:space="preserve">Performance Decomposition: </w:t>
      </w:r>
      <w:r>
        <w:rPr>
          <w:rFonts w:ascii="Calibri" w:hAnsi="Calibri"/>
          <w:color w:val="525866"/>
          <w:sz w:val="22"/>
        </w:rPr>
        <w:t>Over the 12-month window, WDC's +617% return was driven by both multiple expansion (EV/EBITDA expanded from ~8.6x to ~17.5x, +104%) and fundamental earnings growth. Over the 6-month window, the +103% return was split between multiple expansion (+26% on EV/EBITDA) and earnings growth. The 1-month pullback of -5% was driven primarily by multiple compression (-10% on EV/EBITDA), not estimate cuts — suggesting the selloff is sentiment-driven and potentially reversible on a clean print.</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b/>
          <w:color w:val="525866"/>
          <w:sz w:val="22"/>
        </w:rPr>
        <w:t>The most important development since the Q3 print is Seagate's blowout June-quarter earnings (July 28) with a massive Q1 FY2027 guide — the strongest direct read-through for WDC's HDD business and a clear signal that the AI-driven nearline storage cycle is accelerating, not plateauing.</w:t>
      </w:r>
    </w:p>
    <w:p>
      <w:pPr>
        <w:pStyle w:val="ListBullet"/>
        <w:ind w:left="360" w:hanging="360"/>
      </w:pPr>
      <w:r>
        <w:rPr>
          <w:rFonts w:ascii="Calibri" w:hAnsi="Calibri"/>
          <w:b/>
          <w:color w:val="525866"/>
          <w:sz w:val="22"/>
        </w:rPr>
        <w:t xml:space="preserve">Jul 28, 2026 — Seagate (STX) Blowout Q4 FY2026 Earnings: </w:t>
      </w:r>
      <w:r>
        <w:rPr>
          <w:rFonts w:ascii="Calibri" w:hAnsi="Calibri"/>
          <w:color w:val="525866"/>
          <w:sz w:val="22"/>
        </w:rPr>
        <w:t xml:space="preserve">STX reported EPS of $5.71 vs. $5.08 consensus (+12.4% beat) and revenue of $3.63B vs. $3.49B consensus (+4.0% beat), with gross margins exceeding plan by &gt;200 bps. Q1 FY2027 EPS guidance of ~$7.30 vs. Street at $5.80 (+25.9% above consensus). STX cited "strong and growing" nearline demand, 90% of exabytes now from data center customers, and pricing up ~10% YoY in June with September quarter implying ~20%+ YoY pricing growth. </w:t>
      </w:r>
      <w:r>
        <w:rPr>
          <w:rFonts w:ascii="Calibri" w:hAnsi="Calibri"/>
          <w:b/>
          <w:color w:val="525866"/>
          <w:sz w:val="22"/>
        </w:rPr>
        <w:t>Implication: Strongest possible direct read-through for WDC's HDD business — same demand drivers, same pricing environment, same customer base.</w:t>
      </w:r>
    </w:p>
    <w:p>
      <w:pPr>
        <w:pStyle w:val="ListBullet"/>
        <w:ind w:left="360" w:hanging="360"/>
      </w:pPr>
      <w:r>
        <w:rPr>
          <w:rFonts w:ascii="Calibri" w:hAnsi="Calibri"/>
          <w:b/>
          <w:color w:val="525866"/>
          <w:sz w:val="22"/>
        </w:rPr>
        <w:t xml:space="preserve">Jun 11, 2026 — WDC 8-K: SanDisk Stake Exchange: </w:t>
      </w:r>
      <w:r>
        <w:rPr>
          <w:rFonts w:ascii="Calibri" w:hAnsi="Calibri"/>
          <w:color w:val="525866"/>
          <w:sz w:val="22"/>
        </w:rPr>
        <w:t xml:space="preserve">WDC entered exchange agreements to swap ~1.04M SanDisk shares for WDC common stock with institutional investors (measurement period Jun 16–18, closing Jun 22). This represents partial execution of the SanDisk stake monetization plan. </w:t>
      </w:r>
      <w:r>
        <w:rPr>
          <w:rFonts w:ascii="Calibri" w:hAnsi="Calibri"/>
          <w:b/>
          <w:color w:val="525866"/>
          <w:sz w:val="22"/>
        </w:rPr>
        <w:t>Implication: Balance sheet cleanup continues; remaining ~1.1M SanDisk shares still to be monetized before end of CY2026.</w:t>
      </w:r>
    </w:p>
    <w:p>
      <w:pPr>
        <w:pStyle w:val="ListBullet"/>
        <w:ind w:left="360" w:hanging="360"/>
      </w:pPr>
      <w:r>
        <w:rPr>
          <w:rFonts w:ascii="Calibri" w:hAnsi="Calibri"/>
          <w:b/>
          <w:color w:val="525866"/>
          <w:sz w:val="22"/>
        </w:rPr>
        <w:t xml:space="preserve">Jun 15, 2026 — Morgan Stanley Top Pick Designation: </w:t>
      </w:r>
      <w:r>
        <w:rPr>
          <w:rFonts w:ascii="Calibri" w:hAnsi="Calibri"/>
          <w:color w:val="525866"/>
          <w:sz w:val="22"/>
        </w:rPr>
        <w:t xml:space="preserve">Morgan Stanley named WDC and Seagate as top picks amid the AI storage boom. Stock rallied +16% on the day (also aided by US-Iran peace deal risk-on sentiment). </w:t>
      </w:r>
      <w:r>
        <w:rPr>
          <w:rFonts w:ascii="Calibri" w:hAnsi="Calibri"/>
          <w:b/>
          <w:color w:val="525866"/>
          <w:sz w:val="22"/>
        </w:rPr>
        <w:t>Implication: Sell-side conviction remains high; analyst community broadly bullish on the AI storage thesis.</w:t>
      </w:r>
    </w:p>
    <w:p>
      <w:pPr>
        <w:pStyle w:val="ListBullet"/>
        <w:ind w:left="360" w:hanging="360"/>
      </w:pPr>
      <w:r>
        <w:rPr>
          <w:rFonts w:ascii="Calibri" w:hAnsi="Calibri"/>
          <w:b/>
          <w:color w:val="525866"/>
          <w:sz w:val="22"/>
        </w:rPr>
        <w:t xml:space="preserve">Jun 3, 2026 — Evercore TMT Global Conference: </w:t>
      </w:r>
      <w:r>
        <w:rPr>
          <w:rFonts w:ascii="Calibri" w:hAnsi="Calibri"/>
          <w:color w:val="525866"/>
          <w:sz w:val="22"/>
        </w:rPr>
        <w:t xml:space="preserve">CFO Sennesael stated forecasts are "continuing to go up," gross margins will see "further improvement for many, many quarters," and exabyte growth conviction above 25% CAGR is strengthening. Customers are "pounding the table" for hard drives. </w:t>
      </w:r>
      <w:r>
        <w:rPr>
          <w:rFonts w:ascii="Calibri" w:hAnsi="Calibri"/>
          <w:b/>
          <w:color w:val="525866"/>
          <w:sz w:val="22"/>
        </w:rPr>
        <w:t>Implication: Qualitative guidance raise without formal numerical revision; sets a high bar for tone on the August 5 call.</w:t>
      </w:r>
    </w:p>
    <w:p>
      <w:pPr>
        <w:pStyle w:val="ListBullet"/>
        <w:ind w:left="360" w:hanging="360"/>
      </w:pPr>
      <w:r>
        <w:rPr>
          <w:rFonts w:ascii="Calibri" w:hAnsi="Calibri"/>
          <w:b/>
          <w:color w:val="525866"/>
          <w:sz w:val="22"/>
        </w:rPr>
        <w:t xml:space="preserve">Jun 2, 2026 — BofA Global Technology Conference: </w:t>
      </w:r>
      <w:r>
        <w:rPr>
          <w:rFonts w:ascii="Calibri" w:hAnsi="Calibri"/>
          <w:color w:val="525866"/>
          <w:sz w:val="22"/>
        </w:rPr>
        <w:t xml:space="preserve">CFO reiterated Q3 ASP/TB was up 9% YoY ("high end" of mid-to-high single-digit guidance), demand exceeds supply, and customers are placing orders 52 weeks in advance. Free cash flow approaching 30% margin (~$1B/quarter). </w:t>
      </w:r>
      <w:r>
        <w:rPr>
          <w:rFonts w:ascii="Calibri" w:hAnsi="Calibri"/>
          <w:b/>
          <w:color w:val="525866"/>
          <w:sz w:val="22"/>
        </w:rPr>
        <w:t>Implication: Operational execution tracking at or above guidance; no signs of demand softening.</w:t>
      </w:r>
    </w:p>
    <w:p>
      <w:pPr>
        <w:pStyle w:val="ListBullet"/>
        <w:ind w:left="360" w:hanging="360"/>
      </w:pPr>
      <w:r>
        <w:rPr>
          <w:rFonts w:ascii="Calibri" w:hAnsi="Calibri"/>
          <w:b/>
          <w:color w:val="525866"/>
          <w:sz w:val="22"/>
        </w:rPr>
        <w:t xml:space="preserve">Jul 27–28, 2026 — CXMT IPO &amp; Chinese Chip Competition Fears: </w:t>
      </w:r>
      <w:r>
        <w:rPr>
          <w:rFonts w:ascii="Calibri" w:hAnsi="Calibri"/>
          <w:color w:val="525866"/>
          <w:sz w:val="22"/>
        </w:rPr>
        <w:t xml:space="preserve">China's ChangXin Memory Technologies (CXMT) completed an IPO valuing it at ~$484B and is considering a second fab in Beijing. Reports emerged of a Chinese state-backed company producing immersion DUV lithography machines. WDC fell ~8% on July 27. </w:t>
      </w:r>
      <w:r>
        <w:rPr>
          <w:rFonts w:ascii="Calibri" w:hAnsi="Calibri"/>
          <w:b/>
          <w:color w:val="525866"/>
          <w:sz w:val="22"/>
        </w:rPr>
        <w:t>Implication: Near-term sentiment headwind, but CXMT is a DRAM/NAND player — limited direct competitive threat to WDC's HDD business. Indirect risk via potential NAND pricing pressure if CXMT scales.</w:t>
      </w:r>
    </w:p>
    <w:p>
      <w:pPr>
        <w:pStyle w:val="ListBullet"/>
        <w:ind w:left="360" w:hanging="360"/>
      </w:pPr>
      <w:r>
        <w:rPr>
          <w:rFonts w:ascii="Calibri" w:hAnsi="Calibri"/>
          <w:b/>
          <w:color w:val="525866"/>
          <w:sz w:val="22"/>
        </w:rPr>
        <w:t xml:space="preserve">Jul 30, 2026 — Semiconductor Sector Rally: </w:t>
      </w:r>
      <w:r>
        <w:rPr>
          <w:rFonts w:ascii="Calibri" w:hAnsi="Calibri"/>
          <w:color w:val="525866"/>
          <w:sz w:val="22"/>
        </w:rPr>
        <w:t xml:space="preserve">SOX index rallied 7–8% on strong Lam Research, Microsoft, and Arm earnings. WDC +15% on the day. Amazon raised 2026 CapEx guidance to $220B, confirming continued hyperscaler infrastructure spending. </w:t>
      </w:r>
      <w:r>
        <w:rPr>
          <w:rFonts w:ascii="Calibri" w:hAnsi="Calibri"/>
          <w:b/>
          <w:color w:val="525866"/>
          <w:sz w:val="22"/>
        </w:rPr>
        <w:t>Implication: Hyperscaler CapEx confirmation is a direct positive for WDC's nearline HDD demand.</w:t>
      </w:r>
    </w:p>
    <w:p>
      <w:pPr>
        <w:pStyle w:val="ListBullet"/>
        <w:ind w:left="360" w:hanging="360"/>
      </w:pPr>
      <w:r>
        <w:rPr>
          <w:rFonts w:ascii="Calibri" w:hAnsi="Calibri"/>
          <w:b/>
          <w:color w:val="525866"/>
          <w:sz w:val="22"/>
        </w:rPr>
        <w:t xml:space="preserve">Jun 24, 2026 — Micron (MU) Q3 FY2026 Earnings: </w:t>
      </w:r>
      <w:r>
        <w:rPr>
          <w:rFonts w:ascii="Calibri" w:hAnsi="Calibri"/>
          <w:color w:val="525866"/>
          <w:sz w:val="22"/>
        </w:rPr>
        <w:t xml:space="preserve">Micron reported strong results and guided Q4 FY2026 revenue to a record $50B (+/-$1B) with gross margin of ~86%. Cited "DRAM and NAND industry demand continues to significantly exceed industry supply" and tight conditions expected to persist beyond CY2027. </w:t>
      </w:r>
      <w:r>
        <w:rPr>
          <w:rFonts w:ascii="Calibri" w:hAnsi="Calibri"/>
          <w:b/>
          <w:color w:val="525866"/>
          <w:sz w:val="22"/>
        </w:rPr>
        <w:t>Implication: Confirms broad memory/storage supply-demand tightness; positive for WDC's NAND business (SanDisk) and indirectly validates the AI storage demand thesis.</w:t>
      </w:r>
    </w:p>
    <w:p>
      <w:r>
        <w:br w:type="page"/>
      </w:r>
    </w:p>
    <w:p>
      <w:pPr>
        <w:pStyle w:val="Heading1"/>
        <w:pBdr>
          <w:bottom w:val="single" w:sz="4" w:space="1" w:color="FB9120"/>
        </w:pBdr>
      </w:pPr>
      <w:r>
        <w:rPr>
          <w:rFonts w:ascii="Calibri" w:hAnsi="Calibri"/>
          <w:b/>
          <w:color w:val="3B4259"/>
          <w:sz w:val="40"/>
        </w:rPr>
        <w:t>7. Peer Commentary &amp; Current-Quarter Read-Throughs</w:t>
      </w:r>
    </w:p>
    <w:p>
      <w:r>
        <w:rPr>
          <w:rFonts w:ascii="Calibri" w:hAnsi="Calibri"/>
          <w:b/>
          <w:color w:val="525866"/>
          <w:sz w:val="22"/>
        </w:rPr>
        <w:t xml:space="preserve">Key Takeaway: </w:t>
      </w:r>
      <w:r>
        <w:rPr>
          <w:rFonts w:ascii="Calibri" w:hAnsi="Calibri"/>
          <w:b/>
          <w:color w:val="525866"/>
          <w:sz w:val="22"/>
        </w:rPr>
        <w:t>Peer commentary from the past 60 days is uniformly bullish for WDC's fiscal 4Q 2026 (June quarter) conditions. Seagate's blowout June-quarter print is the most direct and powerful read-through, confirming accelerating nearline demand, pricing power, and margin expansion. Micron and Silicon Motion add corroborating evidence of broad storage supply-demand tightness.</w:t>
      </w:r>
    </w:p>
    <w:p>
      <w:r>
        <w:rPr>
          <w:rFonts w:ascii="Calibri" w:hAnsi="Calibri"/>
          <w:b/>
          <w:color w:val="525866"/>
          <w:sz w:val="22"/>
        </w:rPr>
        <w:t xml:space="preserve">Scope Note: </w:t>
      </w:r>
      <w:r>
        <w:rPr>
          <w:rFonts w:ascii="Calibri" w:hAnsi="Calibri"/>
          <w:color w:val="525866"/>
          <w:sz w:val="22"/>
        </w:rPr>
        <w:t>All peer commentary below was published within the past 60 days (on or after June 5, 2026) and addresses conditions relevant to WDC's fiscal 4Q 2026 (quarter ended June 30, 2026) or forward outlook. Prior-quarter-only commentary has been excluded. Read-throughs are explicitly categorized as Direct HDD or Indirect NAND/Flash.</w:t>
      </w:r>
    </w:p>
    <w:p>
      <w:pPr>
        <w:pStyle w:val="Heading2"/>
      </w:pPr>
      <w:r>
        <w:rPr>
          <w:rFonts w:ascii="Calibri" w:hAnsi="Calibri"/>
          <w:b/>
          <w:color w:val="3B4259"/>
          <w:sz w:val="28"/>
        </w:rPr>
        <w:t>A. Seagate Technology (STX) — Q4 FY2026 Earnings (July 28, 2026)</w:t>
      </w:r>
    </w:p>
    <w:p>
      <w:r>
        <w:rPr>
          <w:rFonts w:ascii="Calibri" w:hAnsi="Calibri"/>
          <w:b/>
          <w:color w:val="525866"/>
          <w:sz w:val="22"/>
        </w:rPr>
        <w:t xml:space="preserve">Relevance: </w:t>
      </w:r>
      <w:r>
        <w:rPr>
          <w:rFonts w:ascii="Calibri" w:hAnsi="Calibri"/>
          <w:color w:val="525866"/>
          <w:sz w:val="22"/>
        </w:rPr>
        <w:t>Seagate is WDC's closest direct HDD peer. STX's June quarter (fiscal Q4 2026) is the same calendar quarter as WDC's fiscal Q4 2026. This is the highest-quality read-through available.</w:t>
      </w:r>
    </w:p>
    <w:p>
      <w:pPr>
        <w:pStyle w:val="Heading3"/>
      </w:pPr>
      <w:r>
        <w:rPr>
          <w:rFonts w:ascii="Calibri" w:hAnsi="Calibri"/>
          <w:b/>
          <w:color w:val="3B4259"/>
          <w:sz w:val="24"/>
        </w:rPr>
        <w:t>Direct HDD Read-Throughs:</w:t>
      </w:r>
    </w:p>
    <w:p>
      <w:pPr>
        <w:pStyle w:val="ListBullet"/>
        <w:ind w:left="360" w:hanging="360"/>
      </w:pPr>
      <w:r>
        <w:rPr>
          <w:rFonts w:ascii="Calibri" w:hAnsi="Calibri"/>
          <w:b/>
          <w:color w:val="525866"/>
          <w:sz w:val="22"/>
        </w:rPr>
        <w:t xml:space="preserve">Demand: </w:t>
      </w:r>
      <w:r>
        <w:rPr>
          <w:rFonts w:ascii="Calibri" w:hAnsi="Calibri"/>
          <w:color w:val="525866"/>
          <w:sz w:val="22"/>
        </w:rPr>
        <w:t xml:space="preserve">STX described nearline demand as "strong and growing," with data center demand representing ~90% of exabyte shipments. Cloud customers showed "three years of sequential quarterly exabyte growth and no evidence of a slowdown." Customers are actively seeking to extend planning horizons through 2029 and beyond. STX expects nearline exabyte growth in the "mid-20% range over the next few years." </w:t>
      </w:r>
      <w:r>
        <w:rPr>
          <w:rFonts w:ascii="Calibri" w:hAnsi="Calibri"/>
          <w:b/>
          <w:color w:val="525866"/>
          <w:sz w:val="22"/>
        </w:rPr>
        <w:t xml:space="preserve">WDC Read-Through: </w:t>
      </w:r>
      <w:r>
        <w:rPr>
          <w:rFonts w:ascii="Calibri" w:hAnsi="Calibri"/>
          <w:color w:val="525866"/>
          <w:sz w:val="22"/>
        </w:rPr>
        <w:t>Directly validates WDC's &gt;25% exabyte growth thesis and confirms the AI-driven nearline demand cycle is intact for the June quarter and beyond.</w:t>
      </w:r>
    </w:p>
    <w:p>
      <w:pPr>
        <w:pStyle w:val="ListBullet"/>
        <w:ind w:left="360" w:hanging="360"/>
      </w:pPr>
      <w:r>
        <w:rPr>
          <w:rFonts w:ascii="Calibri" w:hAnsi="Calibri"/>
          <w:b/>
          <w:color w:val="525866"/>
          <w:sz w:val="22"/>
        </w:rPr>
        <w:t xml:space="preserve">Pricing: </w:t>
      </w:r>
      <w:r>
        <w:rPr>
          <w:rFonts w:ascii="Calibri" w:hAnsi="Calibri"/>
          <w:color w:val="525866"/>
          <w:sz w:val="22"/>
        </w:rPr>
        <w:t xml:space="preserve">STX reported price per exabyte growth of 10% YoY in the June quarter, with the September quarter guide implying ~20%+ YoY pricing growth. STX is executing a "value-based pricing strategy" and customers are "voting every day" by signing up to pricing above contractual levels. </w:t>
      </w:r>
      <w:r>
        <w:rPr>
          <w:rFonts w:ascii="Calibri" w:hAnsi="Calibri"/>
          <w:b/>
          <w:color w:val="525866"/>
          <w:sz w:val="22"/>
        </w:rPr>
        <w:t xml:space="preserve">WDC Read-Through: </w:t>
      </w:r>
      <w:r>
        <w:rPr>
          <w:rFonts w:ascii="Calibri" w:hAnsi="Calibri"/>
          <w:color w:val="525866"/>
          <w:sz w:val="22"/>
        </w:rPr>
        <w:t>Strongly positive for WDC's ASP/TB trajectory. WDC guided mid-to-high single-digit YoY ASP/TB increases for all four quarters of FY2026; STX's 10%+ June-quarter pricing growth suggests WDC may also be at or above the high end of its guidance range.</w:t>
      </w:r>
    </w:p>
    <w:p>
      <w:pPr>
        <w:pStyle w:val="ListBullet"/>
        <w:ind w:left="360" w:hanging="360"/>
      </w:pPr>
      <w:r>
        <w:rPr>
          <w:rFonts w:ascii="Calibri" w:hAnsi="Calibri"/>
          <w:b/>
          <w:color w:val="525866"/>
          <w:sz w:val="22"/>
        </w:rPr>
        <w:t xml:space="preserve">Technology/Supply: </w:t>
      </w:r>
      <w:r>
        <w:rPr>
          <w:rFonts w:ascii="Calibri" w:hAnsi="Calibri"/>
          <w:color w:val="525866"/>
          <w:sz w:val="22"/>
        </w:rPr>
        <w:t xml:space="preserve">STX achieved its milestone of 40% of nearline exabytes on HAMR drives by June and is ramping its Mosaic 4 platform (up to 44TB) with the two largest global CSPs. STX expects to exit CY2026 with 50% of HAMR exabytes on Mosaic. Mosaic 5 (5+ TB/disk) on track for qualification shipments in late CY2027. </w:t>
      </w:r>
      <w:r>
        <w:rPr>
          <w:rFonts w:ascii="Calibri" w:hAnsi="Calibri"/>
          <w:b/>
          <w:color w:val="525866"/>
          <w:sz w:val="22"/>
        </w:rPr>
        <w:t xml:space="preserve">WDC Read-Through: </w:t>
      </w:r>
      <w:r>
        <w:rPr>
          <w:rFonts w:ascii="Calibri" w:hAnsi="Calibri"/>
          <w:color w:val="525866"/>
          <w:sz w:val="22"/>
        </w:rPr>
        <w:t>Confirms the industry is successfully executing next-generation technology transitions. WDC's ePMR 40TB ramp (steep H2 CY2026 ramp guided) and HAMR 44TB qualification (4 customers) are on a parallel timeline.</w:t>
      </w:r>
    </w:p>
    <w:p>
      <w:pPr>
        <w:pStyle w:val="ListBullet"/>
        <w:ind w:left="360" w:hanging="360"/>
      </w:pPr>
      <w:r>
        <w:rPr>
          <w:rFonts w:ascii="Calibri" w:hAnsi="Calibri"/>
          <w:b/>
          <w:color w:val="525866"/>
          <w:sz w:val="22"/>
        </w:rPr>
        <w:t xml:space="preserve">Margins: </w:t>
      </w:r>
      <w:r>
        <w:rPr>
          <w:rFonts w:ascii="Calibri" w:hAnsi="Calibri"/>
          <w:color w:val="525866"/>
          <w:sz w:val="22"/>
        </w:rPr>
        <w:t xml:space="preserve">STX expanded non-GAAP gross margin for a 13th consecutive quarter. Non-GAAP operating margin expected to be ~50% in the September quarter. Incremental gross margins "well above 60%." STX expects "every quarter revenue to improve and every quarter gross margin and profitability to increase" through FY2027. </w:t>
      </w:r>
      <w:r>
        <w:rPr>
          <w:rFonts w:ascii="Calibri" w:hAnsi="Calibri"/>
          <w:b/>
          <w:color w:val="525866"/>
          <w:sz w:val="22"/>
        </w:rPr>
        <w:t xml:space="preserve">WDC Read-Through: </w:t>
      </w:r>
      <w:r>
        <w:rPr>
          <w:rFonts w:ascii="Calibri" w:hAnsi="Calibri"/>
          <w:color w:val="525866"/>
          <w:sz w:val="22"/>
        </w:rPr>
        <w:t>Highly positive for WDC's 51–52% gross margin guidance for Q4 FY2026. WDC's incremental GMs have been running 70–75% YoY; STX's 60%+ incremental GMs confirm the industry-wide margin expansion dynamic.</w:t>
      </w:r>
    </w:p>
    <w:p>
      <w:pPr>
        <w:pStyle w:val="ListBullet"/>
        <w:ind w:left="360" w:hanging="360"/>
      </w:pPr>
      <w:r>
        <w:rPr>
          <w:rFonts w:ascii="Calibri" w:hAnsi="Calibri"/>
          <w:b/>
          <w:color w:val="525866"/>
          <w:sz w:val="22"/>
        </w:rPr>
        <w:t xml:space="preserve">Capital Allocation: </w:t>
      </w:r>
      <w:r>
        <w:rPr>
          <w:rFonts w:ascii="Calibri" w:hAnsi="Calibri"/>
          <w:color w:val="525866"/>
          <w:sz w:val="22"/>
        </w:rPr>
        <w:t xml:space="preserve">STX plans to reduce debt to $2.4B by end of fiscal Q1 (September quarter), down from $3.6B at end of FY2026. Share buybacks at a "higher level" and will "continue in the next several quarters." CapEx expected to remain within 4–6% of revenue for FY2027. </w:t>
      </w:r>
      <w:r>
        <w:rPr>
          <w:rFonts w:ascii="Calibri" w:hAnsi="Calibri"/>
          <w:b/>
          <w:color w:val="525866"/>
          <w:sz w:val="22"/>
        </w:rPr>
        <w:t xml:space="preserve">WDC Read-Through: </w:t>
      </w:r>
      <w:r>
        <w:rPr>
          <w:rFonts w:ascii="Calibri" w:hAnsi="Calibri"/>
          <w:color w:val="525866"/>
          <w:sz w:val="22"/>
        </w:rPr>
        <w:t>Sets a high bar for financial discipline. WDC is already in a net positive cash position ($2B cash vs. $1.6B debt as of March 2026) and has been aggressively returning capital.</w:t>
      </w:r>
    </w:p>
    <w:p>
      <w:pPr>
        <w:pStyle w:val="ListBullet"/>
        <w:ind w:left="360" w:hanging="360"/>
      </w:pPr>
      <w:r>
        <w:rPr>
          <w:rFonts w:ascii="Calibri" w:hAnsi="Calibri"/>
          <w:b/>
          <w:color w:val="525866"/>
          <w:sz w:val="22"/>
        </w:rPr>
        <w:t xml:space="preserve">AI Demand Durability: </w:t>
      </w:r>
      <w:r>
        <w:rPr>
          <w:rFonts w:ascii="Calibri" w:hAnsi="Calibri"/>
          <w:color w:val="525866"/>
          <w:sz w:val="22"/>
        </w:rPr>
        <w:t xml:space="preserve">STX articulated that storage demand is "structurally decoupled" from compute CapEx cycles because new data is constantly created and retained. AI is reinforcing this through training, inference, and agentic applications. Physical AI (robotics, autonomous vehicles) will drive the "next step function expansion in data creation." STX's research with SK Hynix shows a "direct benefit to hard drive storage" for KV cache in inference/agentic AI workloads. </w:t>
      </w:r>
      <w:r>
        <w:rPr>
          <w:rFonts w:ascii="Calibri" w:hAnsi="Calibri"/>
          <w:b/>
          <w:color w:val="525866"/>
          <w:sz w:val="22"/>
        </w:rPr>
        <w:t xml:space="preserve">WDC Read-Through: </w:t>
      </w:r>
      <w:r>
        <w:rPr>
          <w:rFonts w:ascii="Calibri" w:hAnsi="Calibri"/>
          <w:color w:val="525866"/>
          <w:sz w:val="22"/>
        </w:rPr>
        <w:t>Directly validates WDC management's three-pillar AI demand framework (training, inference, physical AI) articulated at the Q3 earnings call.</w:t>
      </w:r>
    </w:p>
    <w:p>
      <w:pPr>
        <w:pStyle w:val="Heading2"/>
      </w:pPr>
      <w:r>
        <w:rPr>
          <w:rFonts w:ascii="Calibri" w:hAnsi="Calibri"/>
          <w:b/>
          <w:color w:val="3B4259"/>
          <w:sz w:val="28"/>
        </w:rPr>
        <w:t>B. Micron Technology (MU) — Q3 FY2026 Earnings (June 24, 2026)</w:t>
      </w:r>
    </w:p>
    <w:p>
      <w:r>
        <w:rPr>
          <w:rFonts w:ascii="Calibri" w:hAnsi="Calibri"/>
          <w:b/>
          <w:color w:val="525866"/>
          <w:sz w:val="22"/>
        </w:rPr>
        <w:t xml:space="preserve">Relevance: </w:t>
      </w:r>
      <w:r>
        <w:rPr>
          <w:rFonts w:ascii="Calibri" w:hAnsi="Calibri"/>
          <w:color w:val="525866"/>
          <w:sz w:val="22"/>
        </w:rPr>
        <w:t>Micron's fiscal Q3 2026 (quarter ended May 2026) was reported June 24, 2026, and includes forward guidance for fiscal Q4 (June–August 2026) — directly overlapping with WDC's fiscal Q4 2026 (April–June 2026). Micron is primarily a DRAM/NAND player; read-throughs are primarily indirect for WDC's NAND business and broadly for AI storage demand.</w:t>
      </w:r>
    </w:p>
    <w:p>
      <w:pPr>
        <w:pStyle w:val="Heading3"/>
      </w:pPr>
      <w:r>
        <w:rPr>
          <w:rFonts w:ascii="Calibri" w:hAnsi="Calibri"/>
          <w:b/>
          <w:color w:val="3B4259"/>
          <w:sz w:val="24"/>
        </w:rPr>
        <w:t>Indirect NAND/Flash Read-Throughs:</w:t>
      </w:r>
    </w:p>
    <w:p>
      <w:pPr>
        <w:pStyle w:val="ListBullet"/>
        <w:ind w:left="360" w:hanging="360"/>
      </w:pPr>
      <w:r>
        <w:rPr>
          <w:rFonts w:ascii="Calibri" w:hAnsi="Calibri"/>
          <w:b/>
          <w:color w:val="525866"/>
          <w:sz w:val="22"/>
        </w:rPr>
        <w:t xml:space="preserve">Supply-Demand Tightness: </w:t>
      </w:r>
      <w:r>
        <w:rPr>
          <w:rFonts w:ascii="Calibri" w:hAnsi="Calibri"/>
          <w:color w:val="525866"/>
          <w:sz w:val="22"/>
        </w:rPr>
        <w:t xml:space="preserve">Micron stated "DRAM and NAND industry demand continues to significantly exceed industry supply" and expects "tight conditions to persist beyond calendar 2027." Industry NAND bit shipments in CY2026 expected to grow ~20%. </w:t>
      </w:r>
      <w:r>
        <w:rPr>
          <w:rFonts w:ascii="Calibri" w:hAnsi="Calibri"/>
          <w:b/>
          <w:color w:val="525866"/>
          <w:sz w:val="22"/>
        </w:rPr>
        <w:t xml:space="preserve">WDC Read-Through (NAND): </w:t>
      </w:r>
      <w:r>
        <w:rPr>
          <w:rFonts w:ascii="Calibri" w:hAnsi="Calibri"/>
          <w:color w:val="525866"/>
          <w:sz w:val="22"/>
        </w:rPr>
        <w:t>Confirms the favorable supply-demand environment for WDC's NAND/flash business (SanDisk). Tight supply supports elevated pricing and margins.</w:t>
      </w:r>
    </w:p>
    <w:p>
      <w:pPr>
        <w:pStyle w:val="ListBullet"/>
        <w:ind w:left="360" w:hanging="360"/>
      </w:pPr>
      <w:r>
        <w:rPr>
          <w:rFonts w:ascii="Calibri" w:hAnsi="Calibri"/>
          <w:b/>
          <w:color w:val="525866"/>
          <w:sz w:val="22"/>
        </w:rPr>
        <w:t xml:space="preserve">Data Center Demand: </w:t>
      </w:r>
      <w:r>
        <w:rPr>
          <w:rFonts w:ascii="Calibri" w:hAnsi="Calibri"/>
          <w:color w:val="525866"/>
          <w:sz w:val="22"/>
        </w:rPr>
        <w:t xml:space="preserve">Micron expects CY2026 industry server units to grow "high teens" percent (above prior "low double digits" expectation), driven by mid-teens growth in traditional servers and stronger growth in AI-accelerated servers. Industry data center DRAM and NAND shipments in CY2026 expected to "more than double from two years ago." </w:t>
      </w:r>
      <w:r>
        <w:rPr>
          <w:rFonts w:ascii="Calibri" w:hAnsi="Calibri"/>
          <w:b/>
          <w:color w:val="525866"/>
          <w:sz w:val="22"/>
        </w:rPr>
        <w:t xml:space="preserve">WDC Read-Through (HDD &amp; NAND): </w:t>
      </w:r>
      <w:r>
        <w:rPr>
          <w:rFonts w:ascii="Calibri" w:hAnsi="Calibri"/>
          <w:color w:val="525866"/>
          <w:sz w:val="22"/>
        </w:rPr>
        <w:t>Strong server unit growth drives demand for both HDD storage (nearline) and NAND (enterprise SSDs, boot drives). Positive for WDC's overall data center revenue mix.</w:t>
      </w:r>
    </w:p>
    <w:p>
      <w:pPr>
        <w:pStyle w:val="ListBullet"/>
        <w:ind w:left="360" w:hanging="360"/>
      </w:pPr>
      <w:r>
        <w:rPr>
          <w:rFonts w:ascii="Calibri" w:hAnsi="Calibri"/>
          <w:b/>
          <w:color w:val="525866"/>
          <w:sz w:val="22"/>
        </w:rPr>
        <w:t xml:space="preserve">Strategic Customer Agreements (SCAs): </w:t>
      </w:r>
      <w:r>
        <w:rPr>
          <w:rFonts w:ascii="Calibri" w:hAnsi="Calibri"/>
          <w:color w:val="525866"/>
          <w:sz w:val="22"/>
        </w:rPr>
        <w:t xml:space="preserve">Micron signed 16 SCAs with 5-year terms (CY2026–CY2030), covering ~20% of DRAM volume and ~33% of NAND volume. Floor prices ensure "robust gross margin well above peak quarterly margins in any past cycle." Cumulative revenue at minimum price of ~$100B over remaining term. </w:t>
      </w:r>
      <w:r>
        <w:rPr>
          <w:rFonts w:ascii="Calibri" w:hAnsi="Calibri"/>
          <w:b/>
          <w:color w:val="525866"/>
          <w:sz w:val="22"/>
        </w:rPr>
        <w:t xml:space="preserve">WDC Read-Through (NAND): </w:t>
      </w:r>
      <w:r>
        <w:rPr>
          <w:rFonts w:ascii="Calibri" w:hAnsi="Calibri"/>
          <w:color w:val="525866"/>
          <w:sz w:val="22"/>
        </w:rPr>
        <w:t>Validates the industry shift toward long-term supply agreements with pricing floors — consistent with WDC's own LTA strategy for HDD. Suggests the NAND pricing environment will remain structurally elevated.</w:t>
      </w:r>
    </w:p>
    <w:p>
      <w:pPr>
        <w:pStyle w:val="ListBullet"/>
        <w:ind w:left="360" w:hanging="360"/>
      </w:pPr>
      <w:r>
        <w:rPr>
          <w:rFonts w:ascii="Calibri" w:hAnsi="Calibri"/>
          <w:b/>
          <w:color w:val="525866"/>
          <w:sz w:val="22"/>
        </w:rPr>
        <w:t xml:space="preserve">HDD Displacement Risk (Caution): </w:t>
      </w:r>
      <w:r>
        <w:rPr>
          <w:rFonts w:ascii="Calibri" w:hAnsi="Calibri"/>
          <w:color w:val="525866"/>
          <w:sz w:val="22"/>
        </w:rPr>
        <w:t xml:space="preserve">Micron explicitly stated that "AI context, memory storage, and HDD displacement opportunities are expanding the addressable market for SSDs." </w:t>
      </w:r>
      <w:r>
        <w:rPr>
          <w:rFonts w:ascii="Calibri" w:hAnsi="Calibri"/>
          <w:b/>
          <w:color w:val="525866"/>
          <w:sz w:val="22"/>
        </w:rPr>
        <w:t xml:space="preserve">WDC Read-Through (HDD — Caution): </w:t>
      </w:r>
      <w:r>
        <w:rPr>
          <w:rFonts w:ascii="Calibri" w:hAnsi="Calibri"/>
          <w:color w:val="525866"/>
          <w:sz w:val="22"/>
        </w:rPr>
        <w:t>This is a potential long-term headwind for WDC's HDD business in certain high-performance AI workloads. However, WDC and Seagate both argue that tiered storage architectures (HDD + SSD) are complementary, not substitutive, and that HDD remains the cost-optimal solution for mass capacity storage.</w:t>
      </w:r>
    </w:p>
    <w:p>
      <w:pPr>
        <w:pStyle w:val="ListBullet"/>
        <w:ind w:left="360" w:hanging="360"/>
      </w:pPr>
      <w:r>
        <w:rPr>
          <w:rFonts w:ascii="Calibri" w:hAnsi="Calibri"/>
          <w:b/>
          <w:color w:val="525866"/>
          <w:sz w:val="22"/>
        </w:rPr>
        <w:t xml:space="preserve">Pricing Moderation Note: </w:t>
      </w:r>
      <w:r>
        <w:rPr>
          <w:rFonts w:ascii="Calibri" w:hAnsi="Calibri"/>
          <w:color w:val="525866"/>
          <w:sz w:val="22"/>
        </w:rPr>
        <w:t xml:space="preserve">Micron's Q4 FY2026 gross margin outlook "reflects a meaningful moderation in the rate of price increases" (though still at record levels). </w:t>
      </w:r>
      <w:r>
        <w:rPr>
          <w:rFonts w:ascii="Calibri" w:hAnsi="Calibri"/>
          <w:b/>
          <w:color w:val="525866"/>
          <w:sz w:val="22"/>
        </w:rPr>
        <w:t xml:space="preserve">WDC Read-Through (NAND): </w:t>
      </w:r>
      <w:r>
        <w:rPr>
          <w:rFonts w:ascii="Calibri" w:hAnsi="Calibri"/>
          <w:color w:val="525866"/>
          <w:sz w:val="22"/>
        </w:rPr>
        <w:t>Suggests NAND pricing growth may be decelerating from peak rates, though absolute levels remain elevated. Less relevant for WDC's HDD business where pricing dynamics are driven by value-based LTAs rather than spot markets.</w:t>
      </w:r>
    </w:p>
    <w:p>
      <w:pPr>
        <w:pStyle w:val="Heading2"/>
      </w:pPr>
      <w:r>
        <w:rPr>
          <w:rFonts w:ascii="Calibri" w:hAnsi="Calibri"/>
          <w:b/>
          <w:color w:val="3B4259"/>
          <w:sz w:val="28"/>
        </w:rPr>
        <w:t>C. Silicon Motion Technology (SIMO) — Q2 2026 Earnings (July 30, 2026)</w:t>
      </w:r>
    </w:p>
    <w:p>
      <w:r>
        <w:rPr>
          <w:rFonts w:ascii="Calibri" w:hAnsi="Calibri"/>
          <w:b/>
          <w:color w:val="525866"/>
          <w:sz w:val="22"/>
        </w:rPr>
        <w:t xml:space="preserve">Relevance: </w:t>
      </w:r>
      <w:r>
        <w:rPr>
          <w:rFonts w:ascii="Calibri" w:hAnsi="Calibri"/>
          <w:color w:val="525866"/>
          <w:sz w:val="22"/>
        </w:rPr>
        <w:t>Silicon Motion is a NAND flash controller maker. Its Q2 2026 (quarter ended June 2026) results and forward guidance are directly relevant to WDC's NAND/flash business conditions in the June quarter. Read-throughs are primarily indirect for WDC's NAND segment.</w:t>
      </w:r>
    </w:p>
    <w:p>
      <w:pPr>
        <w:pStyle w:val="Heading3"/>
      </w:pPr>
      <w:r>
        <w:rPr>
          <w:rFonts w:ascii="Calibri" w:hAnsi="Calibri"/>
          <w:b/>
          <w:color w:val="3B4259"/>
          <w:sz w:val="24"/>
        </w:rPr>
        <w:t>Indirect NAND/Flash Read-Throughs:</w:t>
      </w:r>
    </w:p>
    <w:p>
      <w:pPr>
        <w:pStyle w:val="ListBullet"/>
        <w:ind w:left="360" w:hanging="360"/>
      </w:pPr>
      <w:r>
        <w:rPr>
          <w:rFonts w:ascii="Calibri" w:hAnsi="Calibri"/>
          <w:b/>
          <w:color w:val="525866"/>
          <w:sz w:val="22"/>
        </w:rPr>
        <w:t xml:space="preserve">AI Supercycle Driving Demand: </w:t>
      </w:r>
      <w:r>
        <w:rPr>
          <w:rFonts w:ascii="Calibri" w:hAnsi="Calibri"/>
          <w:color w:val="525866"/>
          <w:sz w:val="22"/>
        </w:rPr>
        <w:t xml:space="preserve">SIMO stated the "AI supercycle has driven significant demand for HBM, DRAM, NAND, and HDD, driving substantial price increases over the past year and creating mounting substrate and supply pressure across memory and storage technology." </w:t>
      </w:r>
      <w:r>
        <w:rPr>
          <w:rFonts w:ascii="Calibri" w:hAnsi="Calibri"/>
          <w:b/>
          <w:color w:val="525866"/>
          <w:sz w:val="22"/>
        </w:rPr>
        <w:t xml:space="preserve">WDC Read-Through (NAND &amp; HDD): </w:t>
      </w:r>
      <w:r>
        <w:rPr>
          <w:rFonts w:ascii="Calibri" w:hAnsi="Calibri"/>
          <w:color w:val="525866"/>
          <w:sz w:val="22"/>
        </w:rPr>
        <w:t>Confirms broad AI-driven demand across all storage categories, including HDD. Favorable pricing environment for both WDC's NAND and HDD businesses.</w:t>
      </w:r>
    </w:p>
    <w:p>
      <w:pPr>
        <w:pStyle w:val="ListBullet"/>
        <w:ind w:left="360" w:hanging="360"/>
      </w:pPr>
      <w:r>
        <w:rPr>
          <w:rFonts w:ascii="Calibri" w:hAnsi="Calibri"/>
          <w:b/>
          <w:color w:val="525866"/>
          <w:sz w:val="22"/>
        </w:rPr>
        <w:t xml:space="preserve">NAND Supply Scarcity Through 2028: </w:t>
      </w:r>
      <w:r>
        <w:rPr>
          <w:rFonts w:ascii="Calibri" w:hAnsi="Calibri"/>
          <w:color w:val="525866"/>
          <w:sz w:val="22"/>
        </w:rPr>
        <w:t xml:space="preserve">SIMO expects NAND supply scarcity to "persist likely until 2028, when new fabs come online." The "NAND environment will stay challenging through 2028." NAND makers are increasingly focusing resources on DRAM/HBM, further constraining NAND supply. </w:t>
      </w:r>
      <w:r>
        <w:rPr>
          <w:rFonts w:ascii="Calibri" w:hAnsi="Calibri"/>
          <w:b/>
          <w:color w:val="525866"/>
          <w:sz w:val="22"/>
        </w:rPr>
        <w:t xml:space="preserve">WDC Read-Through (NAND): </w:t>
      </w:r>
      <w:r>
        <w:rPr>
          <w:rFonts w:ascii="Calibri" w:hAnsi="Calibri"/>
          <w:color w:val="525866"/>
          <w:sz w:val="22"/>
        </w:rPr>
        <w:t>Multi-year NAND supply tightness is a structural positive for WDC's NAND/flash business pricing and margins.</w:t>
      </w:r>
    </w:p>
    <w:p>
      <w:pPr>
        <w:pStyle w:val="ListBullet"/>
        <w:ind w:left="360" w:hanging="360"/>
      </w:pPr>
      <w:r>
        <w:rPr>
          <w:rFonts w:ascii="Calibri" w:hAnsi="Calibri"/>
          <w:b/>
          <w:color w:val="525866"/>
          <w:sz w:val="22"/>
        </w:rPr>
        <w:t xml:space="preserve">Enterprise SSD Demand Acceleration: </w:t>
      </w:r>
      <w:r>
        <w:rPr>
          <w:rFonts w:ascii="Calibri" w:hAnsi="Calibri"/>
          <w:color w:val="525866"/>
          <w:sz w:val="22"/>
        </w:rPr>
        <w:t xml:space="preserve">SIMO's enterprise SSD (Mount Titan) business entered commercial production in Q2 2026 with two tier-1 customers and expects to ramp five additional tier-1 customers in H2 2026. Boot drive demand is "stronger" with 30–40+ drives per server rack. SIMO expects 5–10% of revenue from enterprise SSDs exiting CY2026. </w:t>
      </w:r>
      <w:r>
        <w:rPr>
          <w:rFonts w:ascii="Calibri" w:hAnsi="Calibri"/>
          <w:b/>
          <w:color w:val="525866"/>
          <w:sz w:val="22"/>
        </w:rPr>
        <w:t xml:space="preserve">WDC Read-Through (NAND): </w:t>
      </w:r>
      <w:r>
        <w:rPr>
          <w:rFonts w:ascii="Calibri" w:hAnsi="Calibri"/>
          <w:color w:val="525866"/>
          <w:sz w:val="22"/>
        </w:rPr>
        <w:t>Robust enterprise SSD demand in AI infrastructure is a positive for WDC's enterprise SSD portfolio.</w:t>
      </w:r>
    </w:p>
    <w:p>
      <w:pPr>
        <w:pStyle w:val="ListBullet"/>
        <w:ind w:left="360" w:hanging="360"/>
      </w:pPr>
      <w:r>
        <w:rPr>
          <w:rFonts w:ascii="Calibri" w:hAnsi="Calibri"/>
          <w:b/>
          <w:color w:val="525866"/>
          <w:sz w:val="22"/>
        </w:rPr>
        <w:t xml:space="preserve">Storage Demand Exceeds Supply: </w:t>
      </w:r>
      <w:r>
        <w:rPr>
          <w:rFonts w:ascii="Calibri" w:hAnsi="Calibri"/>
          <w:color w:val="525866"/>
          <w:sz w:val="22"/>
        </w:rPr>
        <w:t xml:space="preserve">SIMO stated "demand for storage is much bigger than the current supply" across both NAND and HDD. </w:t>
      </w:r>
      <w:r>
        <w:rPr>
          <w:rFonts w:ascii="Calibri" w:hAnsi="Calibri"/>
          <w:b/>
          <w:color w:val="525866"/>
          <w:sz w:val="22"/>
        </w:rPr>
        <w:t xml:space="preserve">WDC Read-Through (HDD &amp; NAND): </w:t>
      </w:r>
      <w:r>
        <w:rPr>
          <w:rFonts w:ascii="Calibri" w:hAnsi="Calibri"/>
          <w:color w:val="525866"/>
          <w:sz w:val="22"/>
        </w:rPr>
        <w:t>Broad supply-demand imbalance supports WDC's pricing power across both business segments.</w:t>
      </w:r>
    </w:p>
    <w:p>
      <w:pPr>
        <w:pStyle w:val="ListBullet"/>
        <w:ind w:left="360" w:hanging="360"/>
      </w:pPr>
      <w:r>
        <w:rPr>
          <w:rFonts w:ascii="Calibri" w:hAnsi="Calibri"/>
          <w:b/>
          <w:color w:val="525866"/>
          <w:sz w:val="22"/>
        </w:rPr>
        <w:t xml:space="preserve">Q3 2026 Guidance (Forward-Looking): </w:t>
      </w:r>
      <w:r>
        <w:rPr>
          <w:rFonts w:ascii="Calibri" w:hAnsi="Calibri"/>
          <w:color w:val="525866"/>
          <w:sz w:val="22"/>
        </w:rPr>
        <w:t xml:space="preserve">SIMO guided Q3 2026 revenue to grow 15–20% sequentially to $519–$541M, with operating margin expanding to 27.5–28.5%. Full-year 2026 revenue expected to "more than double." </w:t>
      </w:r>
      <w:r>
        <w:rPr>
          <w:rFonts w:ascii="Calibri" w:hAnsi="Calibri"/>
          <w:b/>
          <w:color w:val="525866"/>
          <w:sz w:val="22"/>
        </w:rPr>
        <w:t xml:space="preserve">WDC Read-Through (NAND): </w:t>
      </w:r>
      <w:r>
        <w:rPr>
          <w:rFonts w:ascii="Calibri" w:hAnsi="Calibri"/>
          <w:color w:val="525866"/>
          <w:sz w:val="22"/>
        </w:rPr>
        <w:t>SIMO's strong sequential growth guidance for Q3 2026 (July–September) suggests the NAND controller demand environment remains robust heading into WDC's fiscal Q1 FY2027.</w:t>
      </w:r>
    </w:p>
    <w:p>
      <w:pPr>
        <w:pStyle w:val="ListBullet"/>
        <w:ind w:left="360" w:hanging="360"/>
      </w:pPr>
      <w:r>
        <w:rPr>
          <w:rFonts w:ascii="Calibri" w:hAnsi="Calibri"/>
          <w:b/>
          <w:color w:val="525866"/>
          <w:sz w:val="22"/>
        </w:rPr>
        <w:t xml:space="preserve">Challenging Consumer Market (Caution): </w:t>
      </w:r>
      <w:r>
        <w:rPr>
          <w:rFonts w:ascii="Calibri" w:hAnsi="Calibri"/>
          <w:color w:val="525866"/>
          <w:sz w:val="22"/>
        </w:rPr>
        <w:t xml:space="preserve">OEMs are finding it "increasingly difficult to build affordable consumer products" due to rising memory/storage costs. China smartphone market is "very challenging." </w:t>
      </w:r>
      <w:r>
        <w:rPr>
          <w:rFonts w:ascii="Calibri" w:hAnsi="Calibri"/>
          <w:b/>
          <w:color w:val="525866"/>
          <w:sz w:val="22"/>
        </w:rPr>
        <w:t xml:space="preserve">WDC Read-Through (NAND — Caution): </w:t>
      </w:r>
      <w:r>
        <w:rPr>
          <w:rFonts w:ascii="Calibri" w:hAnsi="Calibri"/>
          <w:color w:val="525866"/>
          <w:sz w:val="22"/>
        </w:rPr>
        <w:t>Consumer/client NAND weakness could weigh on WDC's consumer-facing flash revenue, though WDC's mix has shifted heavily toward enterprise/cloud (90% of HDD revenue from cloud).</w:t>
      </w:r>
    </w:p>
    <w:p>
      <w:pPr>
        <w:pStyle w:val="Heading2"/>
      </w:pPr>
      <w:r>
        <w:rPr>
          <w:rFonts w:ascii="Calibri" w:hAnsi="Calibri"/>
          <w:b/>
          <w:color w:val="3B4259"/>
          <w:sz w:val="28"/>
        </w:rPr>
        <w:t>D. Hyperscaler CapEx Confirmations (July 2026)</w:t>
      </w:r>
    </w:p>
    <w:p>
      <w:pPr>
        <w:pStyle w:val="ListBullet"/>
        <w:ind w:left="360" w:hanging="360"/>
      </w:pPr>
      <w:r>
        <w:rPr>
          <w:rFonts w:ascii="Calibri" w:hAnsi="Calibri"/>
          <w:b/>
          <w:color w:val="525866"/>
          <w:sz w:val="22"/>
        </w:rPr>
        <w:t xml:space="preserve">Amazon (Jul 30, 2026): </w:t>
      </w:r>
      <w:r>
        <w:rPr>
          <w:rFonts w:ascii="Calibri" w:hAnsi="Calibri"/>
          <w:color w:val="525866"/>
          <w:sz w:val="22"/>
        </w:rPr>
        <w:t xml:space="preserve">Amazon raised its 2026 CapEx guidance to $220B, confirming continued heavy investment in AI infrastructure. </w:t>
      </w:r>
      <w:r>
        <w:rPr>
          <w:rFonts w:ascii="Calibri" w:hAnsi="Calibri"/>
          <w:b/>
          <w:color w:val="525866"/>
          <w:sz w:val="22"/>
        </w:rPr>
        <w:t xml:space="preserve">WDC Read-Through (HDD): </w:t>
      </w:r>
      <w:r>
        <w:rPr>
          <w:rFonts w:ascii="Calibri" w:hAnsi="Calibri"/>
          <w:color w:val="525866"/>
          <w:sz w:val="22"/>
        </w:rPr>
        <w:t>Direct positive for nearline HDD demand. Amazon is one of WDC's top hyperscaler customers.</w:t>
      </w:r>
    </w:p>
    <w:p>
      <w:pPr>
        <w:pStyle w:val="ListBullet"/>
        <w:ind w:left="360" w:hanging="360"/>
      </w:pPr>
      <w:r>
        <w:rPr>
          <w:rFonts w:ascii="Calibri" w:hAnsi="Calibri"/>
          <w:b/>
          <w:color w:val="525866"/>
          <w:sz w:val="22"/>
        </w:rPr>
        <w:t xml:space="preserve">Alphabet (Jul 23, 2026): </w:t>
      </w:r>
      <w:r>
        <w:rPr>
          <w:rFonts w:ascii="Calibri" w:hAnsi="Calibri"/>
          <w:color w:val="525866"/>
          <w:sz w:val="22"/>
        </w:rPr>
        <w:t xml:space="preserve">Google raised CapEx guidance to $195–$205B (from $180–$190B prior range). </w:t>
      </w:r>
      <w:r>
        <w:rPr>
          <w:rFonts w:ascii="Calibri" w:hAnsi="Calibri"/>
          <w:b/>
          <w:color w:val="525866"/>
          <w:sz w:val="22"/>
        </w:rPr>
        <w:t xml:space="preserve">WDC Read-Through (HDD): </w:t>
      </w:r>
      <w:r>
        <w:rPr>
          <w:rFonts w:ascii="Calibri" w:hAnsi="Calibri"/>
          <w:color w:val="525866"/>
          <w:sz w:val="22"/>
        </w:rPr>
        <w:t>Confirms hyperscaler storage infrastructure spending is accelerating, not plateauing.</w:t>
      </w:r>
    </w:p>
    <w:p>
      <w:pPr>
        <w:pStyle w:val="ListBullet"/>
        <w:ind w:left="360" w:hanging="360"/>
      </w:pPr>
      <w:r>
        <w:rPr>
          <w:rFonts w:ascii="Calibri" w:hAnsi="Calibri"/>
          <w:b/>
          <w:color w:val="525866"/>
          <w:sz w:val="22"/>
        </w:rPr>
        <w:t xml:space="preserve">Microsoft (Jul 29, 2026): </w:t>
      </w:r>
      <w:r>
        <w:rPr>
          <w:rFonts w:ascii="Calibri" w:hAnsi="Calibri"/>
          <w:color w:val="525866"/>
          <w:sz w:val="22"/>
        </w:rPr>
        <w:t xml:space="preserve">Strong earnings with continued AI infrastructure spending confirmation. </w:t>
      </w:r>
      <w:r>
        <w:rPr>
          <w:rFonts w:ascii="Calibri" w:hAnsi="Calibri"/>
          <w:b/>
          <w:color w:val="525866"/>
          <w:sz w:val="22"/>
        </w:rPr>
        <w:t xml:space="preserve">WDC Read-Through (HDD): </w:t>
      </w:r>
      <w:r>
        <w:rPr>
          <w:rFonts w:ascii="Calibri" w:hAnsi="Calibri"/>
          <w:color w:val="525866"/>
          <w:sz w:val="22"/>
        </w:rPr>
        <w:t>Adds to the body of evidence that hyperscaler CapEx is robust and storage demand is durable.</w:t>
      </w:r>
    </w:p>
    <w:p>
      <w:r>
        <w:rPr>
          <w:rFonts w:ascii="Calibri" w:hAnsi="Calibri"/>
          <w:color w:val="525866"/>
          <w:sz w:val="22"/>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Relevance to WDC 4Q FY2026</w:t>
            </w:r>
          </w:p>
        </w:tc>
        <w:tc>
          <w:tcPr>
            <w:tcW w:type="dxa" w:w="1728"/>
            <w:shd w:val="clear" w:color="auto" w:fill="3B4259"/>
          </w:tcPr>
          <w:p>
            <w:r>
              <w:rPr>
                <w:rFonts w:ascii="Calibri" w:hAnsi="Calibri"/>
                <w:b/>
                <w:color w:val="FFFFFF"/>
                <w:sz w:val="22"/>
              </w:rPr>
              <w:t>Read-Through Type</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Seagate (STX)</w:t>
            </w:r>
          </w:p>
        </w:tc>
        <w:tc>
          <w:tcPr>
            <w:tcW w:type="dxa" w:w="1728"/>
          </w:tcPr>
          <w:p>
            <w:r>
              <w:rPr>
                <w:rFonts w:ascii="Calibri" w:hAnsi="Calibri"/>
                <w:sz w:val="22"/>
              </w:rPr>
              <w:t>Jul 28, 2026</w:t>
            </w:r>
          </w:p>
        </w:tc>
        <w:tc>
          <w:tcPr>
            <w:tcW w:type="dxa" w:w="1728"/>
          </w:tcPr>
          <w:p>
            <w:r>
              <w:rPr>
                <w:rFonts w:ascii="Calibri" w:hAnsi="Calibri"/>
                <w:sz w:val="22"/>
              </w:rPr>
              <w:t>Same calendar quarter (Jun 2026); direct HDD peer</w:t>
            </w:r>
          </w:p>
        </w:tc>
        <w:tc>
          <w:tcPr>
            <w:tcW w:type="dxa" w:w="1728"/>
          </w:tcPr>
          <w:p>
            <w:r>
              <w:rPr>
                <w:rFonts w:ascii="Calibri" w:hAnsi="Calibri"/>
                <w:sz w:val="22"/>
              </w:rPr>
              <w:t>Direct HDD</w:t>
            </w:r>
          </w:p>
        </w:tc>
        <w:tc>
          <w:tcPr>
            <w:tcW w:type="dxa" w:w="1728"/>
          </w:tcPr>
          <w:p>
            <w:r>
              <w:rPr>
                <w:rFonts w:ascii="Calibri" w:hAnsi="Calibri"/>
                <w:b/>
                <w:color w:val="30A46C"/>
                <w:sz w:val="22"/>
              </w:rPr>
              <w:t>Strongly Positive</w:t>
            </w:r>
          </w:p>
        </w:tc>
      </w:tr>
      <w:tr>
        <w:tc>
          <w:tcPr>
            <w:tcW w:type="dxa" w:w="1728"/>
          </w:tcPr>
          <w:p>
            <w:r>
              <w:rPr>
                <w:rFonts w:ascii="Calibri" w:hAnsi="Calibri"/>
                <w:sz w:val="22"/>
              </w:rPr>
              <w:t>Micron (MU)</w:t>
            </w:r>
          </w:p>
        </w:tc>
        <w:tc>
          <w:tcPr>
            <w:tcW w:type="dxa" w:w="1728"/>
          </w:tcPr>
          <w:p>
            <w:r>
              <w:rPr>
                <w:rFonts w:ascii="Calibri" w:hAnsi="Calibri"/>
                <w:sz w:val="22"/>
              </w:rPr>
              <w:t>Jun 24, 2026</w:t>
            </w:r>
          </w:p>
        </w:tc>
        <w:tc>
          <w:tcPr>
            <w:tcW w:type="dxa" w:w="1728"/>
          </w:tcPr>
          <w:p>
            <w:r>
              <w:rPr>
                <w:rFonts w:ascii="Calibri" w:hAnsi="Calibri"/>
                <w:sz w:val="22"/>
              </w:rPr>
              <w:t>Q3 FY2026 (Mar–May 2026) + Q4 FY2026 guidance (Jun–Aug 2026)</w:t>
            </w:r>
          </w:p>
        </w:tc>
        <w:tc>
          <w:tcPr>
            <w:tcW w:type="dxa" w:w="1728"/>
          </w:tcPr>
          <w:p>
            <w:r>
              <w:rPr>
                <w:rFonts w:ascii="Calibri" w:hAnsi="Calibri"/>
                <w:sz w:val="22"/>
              </w:rPr>
              <w:t>Indirect NAND; Broad AI Storage</w:t>
            </w:r>
          </w:p>
        </w:tc>
        <w:tc>
          <w:tcPr>
            <w:tcW w:type="dxa" w:w="1728"/>
          </w:tcPr>
          <w:p>
            <w:r>
              <w:rPr>
                <w:rFonts w:ascii="Calibri" w:hAnsi="Calibri"/>
                <w:b/>
                <w:color w:val="30A46C"/>
                <w:sz w:val="22"/>
              </w:rPr>
              <w:t>Positive (with HDD displacement caution)</w:t>
            </w:r>
          </w:p>
        </w:tc>
      </w:tr>
      <w:tr>
        <w:tc>
          <w:tcPr>
            <w:tcW w:type="dxa" w:w="1728"/>
          </w:tcPr>
          <w:p>
            <w:r>
              <w:rPr>
                <w:rFonts w:ascii="Calibri" w:hAnsi="Calibri"/>
                <w:sz w:val="22"/>
              </w:rPr>
              <w:t>Silicon Motion (SIMO)</w:t>
            </w:r>
          </w:p>
        </w:tc>
        <w:tc>
          <w:tcPr>
            <w:tcW w:type="dxa" w:w="1728"/>
          </w:tcPr>
          <w:p>
            <w:r>
              <w:rPr>
                <w:rFonts w:ascii="Calibri" w:hAnsi="Calibri"/>
                <w:sz w:val="22"/>
              </w:rPr>
              <w:t>Jul 30, 2026</w:t>
            </w:r>
          </w:p>
        </w:tc>
        <w:tc>
          <w:tcPr>
            <w:tcW w:type="dxa" w:w="1728"/>
          </w:tcPr>
          <w:p>
            <w:r>
              <w:rPr>
                <w:rFonts w:ascii="Calibri" w:hAnsi="Calibri"/>
                <w:sz w:val="22"/>
              </w:rPr>
              <w:t>Q2 2026 (Apr–Jun 2026); NAND controller demand</w:t>
            </w:r>
          </w:p>
        </w:tc>
        <w:tc>
          <w:tcPr>
            <w:tcW w:type="dxa" w:w="1728"/>
          </w:tcPr>
          <w:p>
            <w:r>
              <w:rPr>
                <w:rFonts w:ascii="Calibri" w:hAnsi="Calibri"/>
                <w:sz w:val="22"/>
              </w:rPr>
              <w:t>Indirect NAND</w:t>
            </w:r>
          </w:p>
        </w:tc>
        <w:tc>
          <w:tcPr>
            <w:tcW w:type="dxa" w:w="1728"/>
          </w:tcPr>
          <w:p>
            <w:r>
              <w:rPr>
                <w:rFonts w:ascii="Calibri" w:hAnsi="Calibri"/>
                <w:b/>
                <w:color w:val="30A46C"/>
                <w:sz w:val="22"/>
              </w:rPr>
              <w:t>Positive (consumer caution)</w:t>
            </w:r>
          </w:p>
        </w:tc>
      </w:tr>
      <w:tr>
        <w:tc>
          <w:tcPr>
            <w:tcW w:type="dxa" w:w="1728"/>
          </w:tcPr>
          <w:p>
            <w:r>
              <w:rPr>
                <w:rFonts w:ascii="Calibri" w:hAnsi="Calibri"/>
                <w:sz w:val="22"/>
              </w:rPr>
              <w:t>Amazon / Alphabet / Microsoft</w:t>
            </w:r>
          </w:p>
        </w:tc>
        <w:tc>
          <w:tcPr>
            <w:tcW w:type="dxa" w:w="1728"/>
          </w:tcPr>
          <w:p>
            <w:r>
              <w:rPr>
                <w:rFonts w:ascii="Calibri" w:hAnsi="Calibri"/>
                <w:sz w:val="22"/>
              </w:rPr>
              <w:t>Jul 2026</w:t>
            </w:r>
          </w:p>
        </w:tc>
        <w:tc>
          <w:tcPr>
            <w:tcW w:type="dxa" w:w="1728"/>
          </w:tcPr>
          <w:p>
            <w:r>
              <w:rPr>
                <w:rFonts w:ascii="Calibri" w:hAnsi="Calibri"/>
                <w:sz w:val="22"/>
              </w:rPr>
              <w:t>Hyperscaler CapEx confirmations for CY2026</w:t>
            </w:r>
          </w:p>
        </w:tc>
        <w:tc>
          <w:tcPr>
            <w:tcW w:type="dxa" w:w="1728"/>
          </w:tcPr>
          <w:p>
            <w:r>
              <w:rPr>
                <w:rFonts w:ascii="Calibri" w:hAnsi="Calibri"/>
                <w:sz w:val="22"/>
              </w:rPr>
              <w:t>Direct HDD (demand driver)</w:t>
            </w:r>
          </w:p>
        </w:tc>
        <w:tc>
          <w:tcPr>
            <w:tcW w:type="dxa" w:w="1728"/>
          </w:tcPr>
          <w:p>
            <w:r>
              <w:rPr>
                <w:rFonts w:ascii="Calibri" w:hAnsi="Calibri"/>
                <w:b/>
                <w:color w:val="30A46C"/>
                <w:sz w:val="22"/>
              </w:rPr>
              <w:t>Strongly Positive</w:t>
            </w:r>
          </w:p>
        </w:tc>
      </w:tr>
    </w:tbl>
    <w:p>
      <w:r>
        <w:br w:type="page"/>
      </w:r>
    </w:p>
    <w:p>
      <w:pPr>
        <w:pStyle w:val="Heading1"/>
        <w:pBdr>
          <w:bottom w:val="single" w:sz="4" w:space="1" w:color="FB9120"/>
        </w:pBdr>
      </w:pPr>
      <w:r>
        <w:rPr>
          <w:rFonts w:ascii="Calibri" w:hAnsi="Calibri"/>
          <w:b/>
          <w:color w:val="3B4259"/>
          <w:sz w:val="40"/>
        </w:rPr>
        <w:t>9. Key Risks</w:t>
      </w:r>
    </w:p>
    <w:p>
      <w:pPr>
        <w:pStyle w:val="ListBullet"/>
        <w:ind w:left="360" w:hanging="360"/>
      </w:pPr>
      <w:r>
        <w:rPr>
          <w:rFonts w:ascii="Calibri" w:hAnsi="Calibri"/>
          <w:b/>
          <w:color w:val="525866"/>
          <w:sz w:val="22"/>
        </w:rPr>
        <w:t xml:space="preserve">ePMR 40TB Ramp Execution Risk: </w:t>
      </w:r>
      <w:r>
        <w:rPr>
          <w:rFonts w:ascii="Calibri" w:hAnsi="Calibri"/>
          <w:color w:val="525866"/>
          <w:sz w:val="22"/>
        </w:rPr>
        <w:t>WDC guided a "steep ramp" of its 40TB ePMR drives in H2 CY2026. Any slip in qualification timelines or yield ramp would pressure both exabyte growth and gross margin expansion. This is the single most important operational risk heading into the print.</w:t>
      </w:r>
    </w:p>
    <w:p>
      <w:pPr>
        <w:pStyle w:val="ListBullet"/>
        <w:ind w:left="360" w:hanging="360"/>
      </w:pPr>
      <w:r>
        <w:rPr>
          <w:rFonts w:ascii="Calibri" w:hAnsi="Calibri"/>
          <w:b/>
          <w:color w:val="525866"/>
          <w:sz w:val="22"/>
        </w:rPr>
        <w:t xml:space="preserve">Gross Margin Sustainability: </w:t>
      </w:r>
      <w:r>
        <w:rPr>
          <w:rFonts w:ascii="Calibri" w:hAnsi="Calibri"/>
          <w:color w:val="525866"/>
          <w:sz w:val="22"/>
        </w:rPr>
        <w:t>Q4 gross margin guidance of 51–52% implies continued sequential expansion from Q3's 50.5%. Any miss on gross margin — even within the guidance range — could be interpreted as a ceiling rather than a floor, given the stock's premium valuation.</w:t>
      </w:r>
    </w:p>
    <w:p>
      <w:pPr>
        <w:pStyle w:val="ListBullet"/>
        <w:ind w:left="360" w:hanging="360"/>
      </w:pPr>
      <w:r>
        <w:rPr>
          <w:rFonts w:ascii="Calibri" w:hAnsi="Calibri"/>
          <w:b/>
          <w:color w:val="525866"/>
          <w:sz w:val="22"/>
        </w:rPr>
        <w:t xml:space="preserve">Chinese Competition (CXMT &amp; Broader): </w:t>
      </w:r>
      <w:r>
        <w:rPr>
          <w:rFonts w:ascii="Calibri" w:hAnsi="Calibri"/>
          <w:color w:val="525866"/>
          <w:sz w:val="22"/>
        </w:rPr>
        <w:t>CXMT's IPO and potential capacity expansion represent a medium-term NAND pricing risk. Reports of Chinese immersion DUV lithography machine production could accelerate China's semiconductor self-sufficiency timeline. While WDC's HDD business has no direct Chinese HDD competitor at scale, NAND pricing pressure could weigh on the SanDisk business.</w:t>
      </w:r>
    </w:p>
    <w:p>
      <w:pPr>
        <w:pStyle w:val="ListBullet"/>
        <w:ind w:left="360" w:hanging="360"/>
      </w:pPr>
      <w:r>
        <w:rPr>
          <w:rFonts w:ascii="Calibri" w:hAnsi="Calibri"/>
          <w:b/>
          <w:color w:val="525866"/>
          <w:sz w:val="22"/>
        </w:rPr>
        <w:t xml:space="preserve">Hyperscaler CapEx Concentration Risk: </w:t>
      </w:r>
      <w:r>
        <w:rPr>
          <w:rFonts w:ascii="Calibri" w:hAnsi="Calibri"/>
          <w:color w:val="525866"/>
          <w:sz w:val="22"/>
        </w:rPr>
        <w:t>~90% of WDC's HDD revenue comes from cloud/hyperscaler customers. Any unexpected pullback in hyperscaler storage CapEx — even temporarily — would have an outsized impact on WDC's revenue and margins.</w:t>
      </w:r>
    </w:p>
    <w:p>
      <w:pPr>
        <w:pStyle w:val="ListBullet"/>
        <w:ind w:left="360" w:hanging="360"/>
      </w:pPr>
      <w:r>
        <w:rPr>
          <w:rFonts w:ascii="Calibri" w:hAnsi="Calibri"/>
          <w:b/>
          <w:color w:val="525866"/>
          <w:sz w:val="22"/>
        </w:rPr>
        <w:t xml:space="preserve">SSD Displacement of HDD: </w:t>
      </w:r>
      <w:r>
        <w:rPr>
          <w:rFonts w:ascii="Calibri" w:hAnsi="Calibri"/>
          <w:color w:val="525866"/>
          <w:sz w:val="22"/>
        </w:rPr>
        <w:t>Micron explicitly cited "HDD displacement opportunities" as expanding the SSD addressable market. While WDC and Seagate argue tiered storage architectures are complementary, any acceleration in SSD cost-per-TB declines could shift the crossover point earlier than expected.</w:t>
      </w:r>
    </w:p>
    <w:p>
      <w:pPr>
        <w:pStyle w:val="ListBullet"/>
        <w:ind w:left="360" w:hanging="360"/>
      </w:pPr>
      <w:r>
        <w:rPr>
          <w:rFonts w:ascii="Calibri" w:hAnsi="Calibri"/>
          <w:b/>
          <w:color w:val="525866"/>
          <w:sz w:val="22"/>
        </w:rPr>
        <w:t xml:space="preserve">Valuation / Multiple Risk: </w:t>
      </w:r>
      <w:r>
        <w:rPr>
          <w:rFonts w:ascii="Calibri" w:hAnsi="Calibri"/>
          <w:color w:val="525866"/>
          <w:sz w:val="22"/>
        </w:rPr>
        <w:t>WDC trades at ~26x NTM P/E and ~17.5x NTM EV/EBITDA — a significant premium to historical averages. The stock has already priced in substantial earnings growth; any guidance miss or tone shift could trigger multiple compression disproportionate to the fundamental miss.</w:t>
      </w:r>
    </w:p>
    <w:p>
      <w:pPr>
        <w:pStyle w:val="ListBullet"/>
        <w:ind w:left="360" w:hanging="360"/>
      </w:pPr>
      <w:r>
        <w:rPr>
          <w:rFonts w:ascii="Calibri" w:hAnsi="Calibri"/>
          <w:b/>
          <w:color w:val="525866"/>
          <w:sz w:val="22"/>
        </w:rPr>
        <w:t xml:space="preserve">Macro / Interest Rate Risk: </w:t>
      </w:r>
      <w:r>
        <w:rPr>
          <w:rFonts w:ascii="Calibri" w:hAnsi="Calibri"/>
          <w:color w:val="525866"/>
          <w:sz w:val="22"/>
        </w:rPr>
        <w:t>Three Fed policymakers dissented in favor of rate hikes in late July 2026. Higher rates could reduce corporate and consumer spending, indirectly pressuring storage demand and compressing growth multiples.</w:t>
      </w:r>
    </w:p>
    <w:p>
      <w:pPr>
        <w:pStyle w:val="ListBullet"/>
        <w:ind w:left="360" w:hanging="360"/>
      </w:pPr>
      <w:r>
        <w:rPr>
          <w:rFonts w:ascii="Calibri" w:hAnsi="Calibri"/>
          <w:b/>
          <w:color w:val="525866"/>
          <w:sz w:val="22"/>
        </w:rPr>
        <w:t xml:space="preserve">HAMR Technology Execution: </w:t>
      </w:r>
      <w:r>
        <w:rPr>
          <w:rFonts w:ascii="Calibri" w:hAnsi="Calibri"/>
          <w:color w:val="525866"/>
          <w:sz w:val="22"/>
        </w:rPr>
        <w:t>HAMR is in qualification with 4 customers but volume ramp is not expected until H1 CY2027. Any negative customer feedback or yield issues during qualification could delay the ramp and create a gap in WDC's technology roadmap between ePMR and HAMR.</w:t>
      </w:r>
    </w:p>
    <w:p>
      <w:pPr>
        <w:pStyle w:val="ListBullet"/>
        <w:ind w:left="360" w:hanging="360"/>
      </w:pPr>
      <w:r>
        <w:rPr>
          <w:rFonts w:ascii="Calibri" w:hAnsi="Calibri"/>
          <w:b/>
          <w:color w:val="525866"/>
          <w:sz w:val="22"/>
        </w:rPr>
        <w:t xml:space="preserve">SanDisk Stake Overhang: </w:t>
      </w:r>
      <w:r>
        <w:rPr>
          <w:rFonts w:ascii="Calibri" w:hAnsi="Calibri"/>
          <w:color w:val="525866"/>
          <w:sz w:val="22"/>
        </w:rPr>
        <w:t>WDC still holds ~1.1M SanDisk shares to be monetized before end of CY2026. The equity-for-equity exchange mechanism creates potential dilution risk depending on relative valuations at the time of exchange.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