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ynn-earnings-predictions--2026-08-04"/>
    <w:p>
      <w:pPr>
        <w:pStyle w:val="Heading1"/>
      </w:pPr>
      <w:r>
        <w:t xml:space="preserve">WYNN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Adjusted Property EBITDAR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575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565M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Macau Adjusted Property EBITDAR (Wynn Palace + Wynn Macau)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272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258M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Las Vegas Adjusted Property EBITDAR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226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234M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Wynn Al Marjan Island (UAE) opening timeline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~late-2027/early-2028 open vs. cons ~2027 (opening timeline)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Macau QTD/July EBITDAR run-rate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3.5</m:t>
              </m:r>
              <m:r>
                <m:t>M</m:t>
              </m:r>
              <m:r>
                <m:rPr>
                  <m:sty m:val="p"/>
                </m:rPr>
                <m:t>/</m:t>
              </m:r>
              <m:r>
                <m:t>d</m:t>
              </m:r>
              <m:r>
                <m:t>a</m:t>
              </m:r>
              <m:r>
                <m:t>y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3.3M/day (July QTD)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expansionary capex (Enclave/Macau + Vegas remodel)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400</m:t>
              </m:r>
              <m:r>
                <m:rPr>
                  <m:sty m:val="p"/>
                </m:rPr>
                <m:t>−</m:t>
              </m:r>
              <m:r>
                <m:t>450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425M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Oversold positioning (~-20% YTD, near 52-week lows) plus a Macau-driven EBITDAR beat likely sparks a relief pop day 1, but the binding variable is the UAE timeline. A quantified Al Marjan slip toward late-2027/2028 pulls out-period (2027-28) EBITDAR contribution estimates down even as Q2 prints a beat, while tough Vegas/Boston comps and Encore Tower remodel disruption cap upside. Net: initial gain fades as sell-side trims the out-period, leaving a muted 5-day residual.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2026-08-04T01:25:20Z</dcterms:created>
  <dcterms:modified xsi:type="dcterms:W3CDTF">2026-08-04T01:25:20Z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