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WYNN before writing the preview. Let me gather recent earnings materials, news, and analyst context.I have the recent structure. Let me read the most recent earnings call (2026Q1) and release, plus the Macau land deal news, and get recent news/price context.Now let me get the setup going into Q2: recent news, the Macau land deal details, stock price context, and the Q2 2025 comp.Let me pull the Q2 2025 comp figures and check for recent Macau GGR / sector context.Let me grab the year-ago Q2 2025 segment figures from that earnings call for comparison.# Wynn Resorts (WYNN) — Q2 2026 Earnings Preview</w:t>
      </w:r>
    </w:p>
    <w:bookmarkStart w:id="9" w:name="X554bac614894cf1e2dd0c1827f764b6e266fa33"/>
    <w:p>
      <w:pPr>
        <w:pStyle w:val="Heading3"/>
      </w:pPr>
      <w:r>
        <w:t xml:space="preserve">Reports after market close, August 4, 2026 (2026Q2 Earnings Call)</w:t>
      </w:r>
    </w:p>
    <w:p>
      <w:r>
        <w:pict>
          <v:rect style="width:0;height:1.5pt" o:hralign="center" o:hrstd="t" o:hr="t"/>
        </w:pict>
      </w:r>
    </w:p>
    <w:bookmarkEnd w:id="9"/>
    <w:bookmarkStart w:id="10" w:name="the-setup-in-one-paragraph"/>
    <w:p>
      <w:pPr>
        <w:pStyle w:val="Heading2"/>
      </w:pPr>
      <w:r>
        <w:t xml:space="preserve">The setup in one paragraph</w:t>
      </w:r>
    </w:p>
    <w:p>
      <w:pPr>
        <w:pStyle w:val="FirstParagraph"/>
      </w:pPr>
      <w:r>
        <w:t xml:space="preserve">Wynn goes into this print as a "quality-at-a-discount" story that the market is not rewarding. Fundamentals across the portfolio have been solid-to-strong — Q1 2026 consolidated Adjusted Property EBITDAR was **</w:t>
      </w:r>
      <m:oMath>
        <m:r>
          <m:t>562.4</m:t>
        </m:r>
        <m:r>
          <m:t>M</m:t>
        </m:r>
        <m:r>
          <m:rPr>
            <m:sty m:val="p"/>
          </m:rPr>
          <m:t>,</m:t>
        </m:r>
        <m:r>
          <m:t>u</m:t>
        </m:r>
        <m:r>
          <m:t>p</m:t>
        </m:r>
        <m:r>
          <m:t> </m:t>
        </m:r>
        <m:r>
          <m:t>6</m:t>
        </m:r>
      </m:oMath>
      <w:r>
        <w:t xml:space="preserve">122.57 on Jan 2 to $98.38 on Aug 3) and sits near 52-week lows. The disconnect is driven almost entirely by the two things that dominate the narrative now:</w:t>
      </w:r>
      <w:r>
        <w:t xml:space="preserve"> </w:t>
      </w:r>
      <w:r>
        <w:rPr>
          <w:b/>
          <w:bCs/>
        </w:rPr>
        <w:t xml:space="preserve">(1) the Wynn Al Marjan Island (UAE) opening timeline against an escalating Middle East backdrop, and (2) whether Macau's premium-mass momentum can hold</w:t>
      </w:r>
      <w:r>
        <w:t xml:space="preserve">. Numbers matter this quarter, but the UAE commentary and Macau run-rate color will move the stock more.</w:t>
      </w:r>
    </w:p>
    <w:p>
      <w:r>
        <w:pict>
          <v:rect style="width:0;height:1.5pt" o:hralign="center" o:hrstd="t" o:hr="t"/>
        </w:pict>
      </w:r>
    </w:p>
    <w:bookmarkEnd w:id="10"/>
    <w:bookmarkStart w:id="11" w:name="Xb0a31f4717b413cc6e6ccc4626bc5cb1ccbc30b"/>
    <w:p>
      <w:pPr>
        <w:pStyle w:val="Heading2"/>
      </w:pPr>
      <w:r>
        <w:t xml:space="preserve">What actually reports: Q2 2026 vs. the Q2 2025 comp</w:t>
      </w:r>
    </w:p>
    <w:p>
      <w:pPr>
        <w:pStyle w:val="FirstParagraph"/>
      </w:pPr>
      <w:r>
        <w:t xml:space="preserve">Last year's second quarter was a genuinely strong bar to clear, so watch the comps carefully:</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Segment</w:t>
            </w:r>
          </w:p>
        </w:tc>
        <w:tc>
          <w:tcPr/>
          <w:p>
            <w:pPr>
              <w:pStyle w:val="Compact"/>
            </w:pPr>
            <w:r>
              <w:t xml:space="preserve">Q2 2025 EBITDAR</w:t>
            </w:r>
          </w:p>
        </w:tc>
        <w:tc>
          <w:tcPr/>
          <w:p>
            <w:pPr>
              <w:pStyle w:val="Compact"/>
            </w:pPr>
            <w:r>
              <w:t xml:space="preserve">Key comp dynamics to remember</w:t>
            </w:r>
          </w:p>
        </w:tc>
      </w:tr>
      <w:tr>
        <w:tc>
          <w:tcPr/>
          <w:p>
            <w:pPr>
              <w:pStyle w:val="Compact"/>
            </w:pPr>
            <w:r>
              <w:rPr>
                <w:b/>
                <w:bCs/>
              </w:rPr>
              <w:t xml:space="preserve">Las Vegas</w:t>
            </w:r>
          </w:p>
        </w:tc>
        <w:tc>
          <w:tcPr/>
          <w:p>
            <w:pPr>
              <w:pStyle w:val="Compact"/>
            </w:pPr>
            <w:r>
              <w:rPr>
                <w:b/>
                <w:bCs/>
              </w:rPr>
              <w:t xml:space="preserve">$234.8M</w:t>
            </w:r>
            <w:r>
              <w:t xml:space="preserve"> </w:t>
            </w:r>
            <w:r>
              <w:t xml:space="preserve">(Q2 record; 36.8% margin)</w:t>
            </w:r>
          </w:p>
        </w:tc>
        <w:tc>
          <w:tcPr/>
          <w:p>
            <w:pPr>
              <w:pStyle w:val="Compact"/>
            </w:pPr>
            <w:r>
              <w:t xml:space="preserve">Low hold</w:t>
            </w:r>
            <w:r>
              <w:t xml:space="preserve"> </w:t>
            </w:r>
            <w:r>
              <w:rPr>
                <w:i/>
                <w:iCs/>
              </w:rPr>
              <w:t xml:space="preserve">cost</w:t>
            </w:r>
            <w:r>
              <w:t xml:space="preserve"> </w:t>
            </w:r>
            <w:r>
              <w:t xml:space="preserve">~</w:t>
            </w:r>
            <m:oMath>
              <m:r>
                <m:t>11.4</m:t>
              </m:r>
              <m:r>
                <m:t>M</m:t>
              </m:r>
              <m:r>
                <m:t>l</m:t>
              </m:r>
              <m:r>
                <m:t>a</m:t>
              </m:r>
              <m:r>
                <m:t>s</m:t>
              </m:r>
              <m:r>
                <m:t>t</m:t>
              </m:r>
              <m:r>
                <m:t>y</m:t>
              </m:r>
              <m:r>
                <m:t>e</m:t>
              </m:r>
              <m:r>
                <m:t>a</m:t>
              </m:r>
              <m:r>
                <m:t>r</m:t>
              </m:r>
              <m:r>
                <m:rPr>
                  <m:sty m:val="p"/>
                </m:rPr>
                <m:t>,</m:t>
              </m:r>
              <m:r>
                <m:t>s</m:t>
              </m:r>
              <m:r>
                <m:t>o</m:t>
              </m:r>
              <m:r>
                <m:t>h</m:t>
              </m:r>
              <m:r>
                <m:t>o</m:t>
              </m:r>
              <m:r>
                <m:t>l</m:t>
              </m:r>
              <m:r>
                <m:t>d</m:t>
              </m:r>
              <m:r>
                <m:rPr>
                  <m:sty m:val="p"/>
                </m:rPr>
                <m:t>−</m:t>
              </m:r>
              <m:r>
                <m:t>n</m:t>
              </m:r>
              <m:r>
                <m:t>o</m:t>
              </m:r>
              <m:r>
                <m:t>r</m:t>
              </m:r>
              <m:r>
                <m:t>m</m:t>
              </m:r>
              <m:r>
                <m:t>a</m:t>
              </m:r>
              <m:r>
                <m:t>l</m:t>
              </m:r>
              <m:r>
                <m:t>i</m:t>
              </m:r>
              <m:r>
                <m:t>z</m:t>
              </m:r>
              <m:r>
                <m:t>e</m:t>
              </m:r>
              <m:r>
                <m:t>d</m:t>
              </m:r>
              <m:r>
                <m:t>w</m:t>
              </m:r>
              <m:r>
                <m:t>a</m:t>
              </m:r>
              <m:r>
                <m:t>s</m:t>
              </m:r>
              <m:r>
                <m:t> </m:t>
              </m:r>
            </m:oMath>
            <w:r>
              <w:t xml:space="preserve">246M — a</w:t>
            </w:r>
            <w:r>
              <w:t xml:space="preserve"> </w:t>
            </w:r>
            <w:r>
              <w:rPr>
                <w:b/>
                <w:bCs/>
              </w:rPr>
              <w:t xml:space="preserve">very tough comp</w:t>
            </w:r>
            <w:r>
              <w:t xml:space="preserve">.</w:t>
            </w:r>
          </w:p>
        </w:tc>
      </w:tr>
      <w:tr>
        <w:tc>
          <w:tcPr/>
          <w:p>
            <w:pPr>
              <w:pStyle w:val="Compact"/>
            </w:pPr>
            <w:r>
              <w:rPr>
                <w:b/>
                <w:bCs/>
              </w:rPr>
              <w:t xml:space="preserve">Macau (total)</w:t>
            </w:r>
          </w:p>
        </w:tc>
        <w:tc>
          <w:tcPr/>
          <w:p>
            <w:pPr>
              <w:pStyle w:val="Compact"/>
            </w:pPr>
            <w:r>
              <w:rPr>
                <w:b/>
                <w:bCs/>
              </w:rPr>
              <w:t xml:space="preserve">$253.7M</w:t>
            </w:r>
            <w:r>
              <w:t xml:space="preserve"> </w:t>
            </w:r>
            <w:r>
              <w:t xml:space="preserve">(28.7% margin)</w:t>
            </w:r>
          </w:p>
        </w:tc>
        <w:tc>
          <w:tcPr/>
          <w:p>
            <w:pPr>
              <w:pStyle w:val="Compact"/>
            </w:pPr>
            <w:r>
              <w:t xml:space="preserve">Low VIP hold</w:t>
            </w:r>
            <w:r>
              <w:t xml:space="preserve"> </w:t>
            </w:r>
            <w:r>
              <w:rPr>
                <w:i/>
                <w:iCs/>
              </w:rPr>
              <w:t xml:space="preserve">cost</w:t>
            </w:r>
            <w:r>
              <w:t xml:space="preserve"> </w:t>
            </w:r>
            <w:r>
              <w:t xml:space="preserve">~</w:t>
            </w:r>
            <m:oMath>
              <m:r>
                <m:t>13</m:t>
              </m:r>
              <m:r>
                <m:t>M</m:t>
              </m:r>
              <m:r>
                <m:rPr>
                  <m:sty m:val="p"/>
                </m:rPr>
                <m:t>;</m:t>
              </m:r>
              <m:r>
                <m:t>V</m:t>
              </m:r>
              <m:r>
                <m:t>I</m:t>
              </m:r>
              <m:r>
                <m:t>P</m:t>
              </m:r>
              <m:r>
                <m:rPr>
                  <m:sty m:val="p"/>
                </m:rPr>
                <m:t>−</m:t>
              </m:r>
              <m:r>
                <m:t>n</m:t>
              </m:r>
              <m:r>
                <m:t>o</m:t>
              </m:r>
              <m:r>
                <m:t>r</m:t>
              </m:r>
              <m:r>
                <m:t>m</m:t>
              </m:r>
              <m:r>
                <m:t>a</m:t>
              </m:r>
              <m:r>
                <m:t>l</m:t>
              </m:r>
              <m:r>
                <m:t>i</m:t>
              </m:r>
              <m:r>
                <m:t>z</m:t>
              </m:r>
              <m:r>
                <m:t>e</m:t>
              </m:r>
              <m:r>
                <m:t>d</m:t>
              </m:r>
              <m:r>
                <m:t>w</m:t>
              </m:r>
              <m:r>
                <m:t>a</m:t>
              </m:r>
              <m:r>
                <m:t>s</m:t>
              </m:r>
              <m:r>
                <m:t> </m:t>
              </m:r>
            </m:oMath>
            <w:r>
              <w:t xml:space="preserve">266M. Volumes were already accelerating into July 2025.</w:t>
            </w:r>
          </w:p>
        </w:tc>
      </w:tr>
      <w:tr>
        <w:tc>
          <w:tcPr/>
          <w:p>
            <w:pPr>
              <w:pStyle w:val="Compact"/>
            </w:pPr>
            <w:r>
              <w:rPr>
                <w:b/>
                <w:bCs/>
              </w:rPr>
              <w:t xml:space="preserve">Encore Boston Harbor</w:t>
            </w:r>
          </w:p>
        </w:tc>
        <w:tc>
          <w:tcPr/>
          <w:p>
            <w:pPr>
              <w:pStyle w:val="Compact"/>
            </w:pPr>
            <w:r>
              <w:rPr>
                <w:b/>
                <w:bCs/>
              </w:rPr>
              <w:t xml:space="preserve">$63.9M</w:t>
            </w:r>
            <w:r>
              <w:t xml:space="preserve"> </w:t>
            </w:r>
            <w:r>
              <w:t xml:space="preserve">(29.6% margin)</w:t>
            </w:r>
          </w:p>
        </w:tc>
        <w:tc>
          <w:tcPr/>
          <w:p>
            <w:pPr>
              <w:pStyle w:val="Compact"/>
            </w:pPr>
            <w:r>
              <w:t xml:space="preserve">Casino revenue grew 5%+; also a</w:t>
            </w:r>
            <w:r>
              <w:t xml:space="preserve"> </w:t>
            </w:r>
            <w:r>
              <w:rPr>
                <w:b/>
                <w:bCs/>
              </w:rPr>
              <w:t xml:space="preserve">tough comp</w:t>
            </w:r>
            <w:r>
              <w:t xml:space="preserve"> </w:t>
            </w:r>
            <w:r>
              <w:t xml:space="preserve">for a property now under structural pressure.</w:t>
            </w:r>
          </w:p>
        </w:tc>
      </w:tr>
      <w:tr>
        <w:tc>
          <w:tcPr/>
          <w:p>
            <w:pPr>
              <w:pStyle w:val="Compact"/>
            </w:pPr>
            <w:r>
              <w:rPr>
                <w:b/>
                <w:bCs/>
              </w:rPr>
              <w:t xml:space="preserve">Consolidated</w:t>
            </w:r>
          </w:p>
        </w:tc>
        <w:tc>
          <w:tcPr/>
          <w:p>
            <w:pPr>
              <w:pStyle w:val="Compact"/>
            </w:pPr>
            <w:r>
              <w:rPr>
                <w:b/>
                <w:bCs/>
              </w:rPr>
              <w:t xml:space="preserve">~$552M</w:t>
            </w:r>
          </w:p>
        </w:tc>
        <w:tc>
          <w:tcPr/>
          <w:p>
            <w:pPr>
              <w:pStyle w:val="Compact"/>
            </w:pPr>
            <w:r>
              <w:t xml:space="preserve">—</w:t>
            </w:r>
          </w:p>
        </w:tc>
      </w:tr>
    </w:tbl>
    <w:p>
      <w:pPr>
        <w:pStyle w:val="BodyText"/>
      </w:pPr>
      <w:r>
        <w:t xml:space="preserve">For reference, in</w:t>
      </w:r>
      <w:r>
        <w:t xml:space="preserve"> </w:t>
      </w:r>
      <w:r>
        <w:rPr>
          <w:b/>
          <w:bCs/>
        </w:rPr>
        <w:t xml:space="preserve">Q1 2026</w:t>
      </w:r>
      <w:r>
        <w:t xml:space="preserve"> </w:t>
      </w:r>
      <w:r>
        <w:t xml:space="preserve">the segments printed Las Vegas $232.5M, Macau $279.4M (Wynn Palace $203.8M / Wynn Macau $75.6M), and Boston $50.5M. Management said on the Q1 call that Q2 was off to a good start in all three markets — Vegas drop and handle up with April ADR up YoY, Macau mass drop running ahead, and Boston drop/handle ahead of last year.</w:t>
      </w:r>
    </w:p>
    <w:p>
      <w:r>
        <w:pict>
          <v:rect style="width:0;height:1.5pt" o:hralign="center" o:hrstd="t" o:hr="t"/>
        </w:pict>
      </w:r>
    </w:p>
    <w:bookmarkEnd w:id="11"/>
    <w:bookmarkStart w:id="17" w:name="X2ad0261206980375d908426b0a1f3d666945892"/>
    <w:p>
      <w:pPr>
        <w:pStyle w:val="Heading2"/>
      </w:pPr>
      <w:r>
        <w:t xml:space="preserve">The five things that will decide the reaction</w:t>
      </w:r>
    </w:p>
    <w:bookmarkStart w:id="12" w:name="Xafd79c3ebfd3e6074f327df475dc05fca17dd3d"/>
    <w:p>
      <w:pPr>
        <w:pStyle w:val="Heading3"/>
      </w:pPr>
      <w:r>
        <w:t xml:space="preserve">1. Wynn Al Marjan Island (UAE) — the whole ballgame for the multiple</w:t>
      </w:r>
    </w:p>
    <w:p>
      <w:pPr>
        <w:pStyle w:val="FirstParagraph"/>
      </w:pPr>
      <w:r>
        <w:t xml:space="preserve">This is the single most important line item on the call, and it's non-financial. On the Q1 call (May 7), CEO Craig Billings acknowledged a</w:t>
      </w:r>
      <w:r>
        <w:t xml:space="preserve"> </w:t>
      </w:r>
      <w:r>
        <w:rPr>
          <w:b/>
          <w:bCs/>
        </w:rPr>
        <w:t xml:space="preserve">"modest" delay</w:t>
      </w:r>
      <w:r>
        <w:t xml:space="preserve"> </w:t>
      </w:r>
      <w:r>
        <w:t xml:space="preserve">to the opening timeline caused by the regional conflict, while stressing construction had continued with 22,000+ workers on site and that Wynn still expects to</w:t>
      </w:r>
      <w:r>
        <w:t xml:space="preserve"> </w:t>
      </w:r>
      <w:r>
        <w:rPr>
          <w:b/>
          <w:bCs/>
        </w:rPr>
        <w:t xml:space="preserve">open in 2027</w:t>
      </w:r>
      <w:r>
        <w:t xml:space="preserve">. He explicitly declined to quantify the delay, promising to do so "in the coming months."</w:t>
      </w:r>
    </w:p>
    <w:p>
      <w:pPr>
        <w:pStyle w:val="BodyText"/>
      </w:pPr>
      <w:r>
        <w:rPr>
          <w:b/>
          <w:bCs/>
        </w:rPr>
        <w:t xml:space="preserve">Q2 is very likely that moment.</w:t>
      </w:r>
      <w:r>
        <w:t xml:space="preserve"> </w:t>
      </w:r>
      <w:r>
        <w:t xml:space="preserve">Investors will want:</w:t>
      </w:r>
    </w:p>
    <w:p>
      <w:pPr>
        <w:pStyle w:val="Compact"/>
        <w:numPr>
          <w:ilvl w:val="0"/>
          <w:numId w:val="1001"/>
        </w:numPr>
      </w:pPr>
      <w:r>
        <w:t xml:space="preserve">A</w:t>
      </w:r>
      <w:r>
        <w:t xml:space="preserve"> </w:t>
      </w:r>
      <w:r>
        <w:rPr>
          <w:b/>
          <w:bCs/>
        </w:rPr>
        <w:t xml:space="preserve">quantified delay</w:t>
      </w:r>
      <w:r>
        <w:t xml:space="preserve"> </w:t>
      </w:r>
      <w:r>
        <w:t xml:space="preserve">and any change to the targeted opening window.</w:t>
      </w:r>
    </w:p>
    <w:p>
      <w:pPr>
        <w:pStyle w:val="Compact"/>
        <w:numPr>
          <w:ilvl w:val="0"/>
          <w:numId w:val="1001"/>
        </w:numPr>
      </w:pPr>
      <w:r>
        <w:t xml:space="preserve">Updated</w:t>
      </w:r>
      <w:r>
        <w:t xml:space="preserve"> </w:t>
      </w:r>
      <w:r>
        <w:rPr>
          <w:b/>
          <w:bCs/>
        </w:rPr>
        <w:t xml:space="preserve">budget/cost</w:t>
      </w:r>
      <w:r>
        <w:t xml:space="preserve"> </w:t>
      </w:r>
      <w:r>
        <w:t xml:space="preserve">color (shipping-rate inflation and a longer-carried on-site team were flagged as incremental preopening costs).</w:t>
      </w:r>
    </w:p>
    <w:p>
      <w:pPr>
        <w:pStyle w:val="Compact"/>
        <w:numPr>
          <w:ilvl w:val="0"/>
          <w:numId w:val="1001"/>
        </w:numPr>
      </w:pPr>
      <w:r>
        <w:rPr>
          <w:b/>
          <w:bCs/>
        </w:rPr>
        <w:t xml:space="preserve">Equity contribution cadence</w:t>
      </w:r>
      <w:r>
        <w:t xml:space="preserve"> </w:t>
      </w:r>
      <w:r>
        <w:t xml:space="preserve">— remaining Wynn share (including the new Janu project) was guided to ~$350–450M as of Q1; life-to-date equity was $1.01B.</w:t>
      </w:r>
    </w:p>
    <w:p>
      <w:pPr>
        <w:pStyle w:val="Compact"/>
        <w:numPr>
          <w:ilvl w:val="0"/>
          <w:numId w:val="1001"/>
        </w:numPr>
      </w:pPr>
      <w:r>
        <w:t xml:space="preserve">Any read on the</w:t>
      </w:r>
      <w:r>
        <w:t xml:space="preserve"> </w:t>
      </w:r>
      <w:r>
        <w:rPr>
          <w:b/>
          <w:bCs/>
        </w:rPr>
        <w:t xml:space="preserve">December Investor Day EBITDAR framework</w:t>
      </w:r>
      <w:r>
        <w:t xml:space="preserve"> </w:t>
      </w:r>
      <w:r>
        <w:t xml:space="preserve">(the ~$265–460M range) and the "sole operator for years" thesis.</w:t>
      </w:r>
    </w:p>
    <w:p>
      <w:pPr>
        <w:pStyle w:val="FirstParagraph"/>
      </w:pPr>
      <w:r>
        <w:t xml:space="preserve">Critical context: the macro tape into this print has featured</w:t>
      </w:r>
      <w:r>
        <w:t xml:space="preserve"> </w:t>
      </w:r>
      <w:r>
        <w:rPr>
          <w:b/>
          <w:bCs/>
        </w:rPr>
        <w:t xml:space="preserve">escalating Middle East conflict and higher oil prices</w:t>
      </w:r>
      <w:r>
        <w:t xml:space="preserve">. Any language suggesting the delay is more than "modest," or that logistics/security have deteriorated, is the biggest downside risk on the call. Conversely, a firm date + "on budget" reassurance could be a relief catalyst given how much bad news the stock has absorbed.</w:t>
      </w:r>
    </w:p>
    <w:bookmarkEnd w:id="12"/>
    <w:bookmarkStart w:id="13" w:name="Xe0c2afb9f188ea5cdf333d1a7322e3d9e28a258"/>
    <w:p>
      <w:pPr>
        <w:pStyle w:val="Heading3"/>
      </w:pPr>
      <w:r>
        <w:t xml:space="preserve">2. Macau — can the premium-mass inflection hold?</w:t>
      </w:r>
    </w:p>
    <w:p>
      <w:pPr>
        <w:pStyle w:val="FirstParagraph"/>
      </w:pPr>
      <w:r>
        <w:t xml:space="preserve">Macau has been the positive surprise. In Q1 2026,</w:t>
      </w:r>
      <w:r>
        <w:t xml:space="preserve"> </w:t>
      </w:r>
      <w:r>
        <w:rPr>
          <w:b/>
          <w:bCs/>
        </w:rPr>
        <w:t xml:space="preserve">mass drop rose ~19% and slot handle ~32%</w:t>
      </w:r>
      <w:r>
        <w:t xml:space="preserve">, and Wynn Palace EBITDAR jumped ~26% to $203.8M. The read-throughs to watch:</w:t>
      </w:r>
    </w:p>
    <w:p>
      <w:pPr>
        <w:pStyle w:val="Compact"/>
        <w:numPr>
          <w:ilvl w:val="0"/>
          <w:numId w:val="1002"/>
        </w:numPr>
      </w:pPr>
      <w:r>
        <w:rPr>
          <w:b/>
          <w:bCs/>
        </w:rPr>
        <w:t xml:space="preserve">Mass volume trajectory</w:t>
      </w:r>
      <w:r>
        <w:t xml:space="preserve"> </w:t>
      </w:r>
      <w:r>
        <w:t xml:space="preserve">through Q2 and into July (management typically quotes a quarter-to-date/July EBITDAR-per-day run-rate — last year it was ~$3.3M/day normalized).</w:t>
      </w:r>
    </w:p>
    <w:p>
      <w:pPr>
        <w:pStyle w:val="Compact"/>
        <w:numPr>
          <w:ilvl w:val="0"/>
          <w:numId w:val="1002"/>
        </w:numPr>
      </w:pPr>
      <w:r>
        <w:rPr>
          <w:b/>
          <w:bCs/>
        </w:rPr>
        <w:t xml:space="preserve">VIP hold</w:t>
      </w:r>
      <w:r>
        <w:t xml:space="preserve">: Q1 2026 VIP hold was</w:t>
      </w:r>
      <w:r>
        <w:t xml:space="preserve"> </w:t>
      </w:r>
      <w:r>
        <w:rPr>
          <w:i/>
          <w:iCs/>
        </w:rPr>
        <w:t xml:space="preserve">low</w:t>
      </w:r>
      <w:r>
        <w:t xml:space="preserve"> </w:t>
      </w:r>
      <w:r>
        <w:t xml:space="preserve">(a ~$17M EBITDAR drag, largely at Wynn Macau where VIP win% was just 0.39%). Normalization would be a tailwind; another low-hold quarter would mask underlying strength.</w:t>
      </w:r>
    </w:p>
    <w:p>
      <w:pPr>
        <w:pStyle w:val="Compact"/>
        <w:numPr>
          <w:ilvl w:val="0"/>
          <w:numId w:val="1002"/>
        </w:numPr>
      </w:pPr>
      <w:r>
        <w:rPr>
          <w:b/>
          <w:bCs/>
        </w:rPr>
        <w:t xml:space="preserve">Wynn Macau (peninsula) weakness</w:t>
      </w:r>
      <w:r>
        <w:t xml:space="preserve">: this property has lagged — Q1 EBITDAR fell to $75.6M from $90.2M. The</w:t>
      </w:r>
      <w:r>
        <w:t xml:space="preserve"> </w:t>
      </w:r>
      <w:r>
        <w:rPr>
          <w:b/>
          <w:bCs/>
        </w:rPr>
        <w:t xml:space="preserve">Wynn Tower room refresh</w:t>
      </w:r>
      <w:r>
        <w:t xml:space="preserve"> </w:t>
      </w:r>
      <w:r>
        <w:t xml:space="preserve">disruption is a factor.</w:t>
      </w:r>
    </w:p>
    <w:p>
      <w:pPr>
        <w:pStyle w:val="Compact"/>
        <w:numPr>
          <w:ilvl w:val="0"/>
          <w:numId w:val="1002"/>
        </w:numPr>
      </w:pPr>
      <w:r>
        <w:rPr>
          <w:b/>
          <w:bCs/>
        </w:rPr>
        <w:t xml:space="preserve">Promotional discipline / reinvestment</w:t>
      </w:r>
      <w:r>
        <w:t xml:space="preserve"> </w:t>
      </w:r>
      <w:r>
        <w:t xml:space="preserve">— management has repeatedly framed Macau as "daily hand-to-hand combat" for share while holding reinvestment steady.</w:t>
      </w:r>
    </w:p>
    <w:bookmarkEnd w:id="13"/>
    <w:bookmarkStart w:id="14" w:name="X6d7521e9afb508182650a9e78243dc9e7dc2dbc"/>
    <w:p>
      <w:pPr>
        <w:pStyle w:val="Heading3"/>
      </w:pPr>
      <w:r>
        <w:t xml:space="preserve">3. Las Vegas — great business, hard comps, and now renovation disruption</w:t>
      </w:r>
    </w:p>
    <w:p>
      <w:pPr>
        <w:pStyle w:val="FirstParagraph"/>
      </w:pPr>
      <w:r>
        <w:t xml:space="preserve">Vegas has outrun the Strip (Q1 RevPAR +9.8%, table drop +15.7%, casino revenue +10.7%). But two headwinds temper Q2:</w:t>
      </w:r>
    </w:p>
    <w:p>
      <w:pPr>
        <w:pStyle w:val="Compact"/>
        <w:numPr>
          <w:ilvl w:val="0"/>
          <w:numId w:val="1003"/>
        </w:numPr>
      </w:pPr>
      <w:r>
        <w:rPr>
          <w:b/>
          <w:bCs/>
        </w:rPr>
        <w:t xml:space="preserve">Comp difficulty</w:t>
      </w:r>
      <w:r>
        <w:t xml:space="preserve">: management openly warned that after a record 2025 (&gt;$900M EBITDAR, all-time monthly record in Aug), the usual "trough-quarter" margin expansion isn't available.</w:t>
      </w:r>
    </w:p>
    <w:p>
      <w:pPr>
        <w:pStyle w:val="Compact"/>
        <w:numPr>
          <w:ilvl w:val="0"/>
          <w:numId w:val="1003"/>
        </w:numPr>
      </w:pPr>
      <w:r>
        <w:rPr>
          <w:b/>
          <w:bCs/>
        </w:rPr>
        <w:t xml:space="preserve">Encore Tower remodel</w:t>
      </w:r>
      <w:r>
        <w:t xml:space="preserve">: a ~12-month, ~$330M project with **~6 floors of room inventory out**, which began in late May 2026. Expect some RevPAR/occupancy drag and margin noise through 2026 into early 2027.</w:t>
      </w:r>
    </w:p>
    <w:p>
      <w:pPr>
        <w:pStyle w:val="Compact"/>
        <w:numPr>
          <w:ilvl w:val="0"/>
          <w:numId w:val="1003"/>
        </w:numPr>
      </w:pPr>
      <w:r>
        <w:rPr>
          <w:b/>
          <w:bCs/>
        </w:rPr>
        <w:t xml:space="preserve">Cost creep</w:t>
      </w:r>
      <w:r>
        <w:t xml:space="preserve">: Q1 Vegas OpEx/day ran ~$4.55M (+6.8%), above the prior $4.3–4.5M framework, on contractual wages, new F&amp;B outlets (Zero Bond, Sartiano's), and food-cost inflation. Watch whether margins hold ~35%.</w:t>
      </w:r>
    </w:p>
    <w:bookmarkEnd w:id="14"/>
    <w:bookmarkStart w:id="15" w:name="Xe8b4d02984c23ddc6dc59470ec64139f2faa953"/>
    <w:p>
      <w:pPr>
        <w:pStyle w:val="Heading3"/>
      </w:pPr>
      <w:r>
        <w:t xml:space="preserve">4. Encore Boston Harbor — the quiet soft spot</w:t>
      </w:r>
    </w:p>
    <w:p>
      <w:pPr>
        <w:pStyle w:val="FirstParagraph"/>
      </w:pPr>
      <w:r>
        <w:t xml:space="preserve">Boston is the one clearly deteriorating unit:</w:t>
      </w:r>
      <w:r>
        <w:t xml:space="preserve"> </w:t>
      </w:r>
      <w:r>
        <w:rPr>
          <w:b/>
          <w:bCs/>
        </w:rPr>
        <w:t xml:space="preserve">Q1 2026 EBITDAR fell 12% to $50.5M</w:t>
      </w:r>
      <w:r>
        <w:t xml:space="preserve">, hurt by weather, New Hampshire gaming expansion, and persistent</w:t>
      </w:r>
      <w:r>
        <w:t xml:space="preserve"> </w:t>
      </w:r>
      <w:r>
        <w:rPr>
          <w:b/>
          <w:bCs/>
        </w:rPr>
        <w:t xml:space="preserve">union wage pressure</w:t>
      </w:r>
      <w:r>
        <w:t xml:space="preserve">. Against a strong $63.9M year-ago Q2, this segment could show a meaningful YoY decline. It's small relative to the whole, but it's a recurring pressure point in Q&amp;A.</w:t>
      </w:r>
    </w:p>
    <w:bookmarkEnd w:id="15"/>
    <w:bookmarkStart w:id="16" w:name="X27041ebda100cf654ba3e82cad1b6208693ec84"/>
    <w:p>
      <w:pPr>
        <w:pStyle w:val="Heading3"/>
      </w:pPr>
      <w:r>
        <w:t xml:space="preserve">5. Capital allocation &amp; the balance sheet</w:t>
      </w:r>
    </w:p>
    <w:p>
      <w:pPr>
        <w:pStyle w:val="Compact"/>
        <w:numPr>
          <w:ilvl w:val="0"/>
          <w:numId w:val="1004"/>
        </w:numPr>
      </w:pPr>
      <w:r>
        <w:rPr>
          <w:b/>
          <w:bCs/>
        </w:rPr>
        <w:t xml:space="preserve">Buybacks</w:t>
      </w:r>
      <w:r>
        <w:t xml:space="preserve">: Wynn repurchased $53.8M in Q1 and another</w:t>
      </w:r>
      <w:r>
        <w:t xml:space="preserve"> </w:t>
      </w:r>
      <m:oMath>
        <m:r>
          <m:t>30.6</m:t>
        </m:r>
        <m:r>
          <m:t>M</m:t>
        </m:r>
        <m:r>
          <m:t>e</m:t>
        </m:r>
        <m:r>
          <m:t>a</m:t>
        </m:r>
        <m:r>
          <m:t>r</m:t>
        </m:r>
        <m:r>
          <m:t>l</m:t>
        </m:r>
        <m:r>
          <m:t>y</m:t>
        </m:r>
        <m:r>
          <m:t>i</m:t>
        </m:r>
        <m:r>
          <m:t>n</m:t>
        </m:r>
        <m:r>
          <m:t>Q</m:t>
        </m:r>
        <m:r>
          <m:t>2</m:t>
        </m:r>
        <m:r>
          <m:rPr>
            <m:sty m:val="p"/>
          </m:rPr>
          <m:t>,</m:t>
        </m:r>
        <m:r>
          <m:t>w</m:t>
        </m:r>
        <m:r>
          <m:t>i</m:t>
        </m:r>
        <m:r>
          <m:t>t</m:t>
        </m:r>
        <m:r>
          <m:t>h</m:t>
        </m:r>
        <m:r>
          <m:t> </m:t>
        </m:r>
      </m:oMath>
      <w:r>
        <w:t xml:space="preserve">401M authorization remaining as of March 31. Pace matters given the depressed share price — a step-up would signal management conviction.</w:t>
      </w:r>
    </w:p>
    <w:p>
      <w:pPr>
        <w:pStyle w:val="Compact"/>
        <w:numPr>
          <w:ilvl w:val="0"/>
          <w:numId w:val="1004"/>
        </w:numPr>
      </w:pPr>
      <w:r>
        <w:rPr>
          <w:b/>
          <w:bCs/>
        </w:rPr>
        <w:t xml:space="preserve">Dividend</w:t>
      </w:r>
      <w:r>
        <w:t xml:space="preserve">: $0.25/quarter recurring; Wynn Macau raised its 2025 final dividend to $150M.</w:t>
      </w:r>
    </w:p>
    <w:p>
      <w:pPr>
        <w:pStyle w:val="Compact"/>
        <w:numPr>
          <w:ilvl w:val="0"/>
          <w:numId w:val="1004"/>
        </w:numPr>
      </w:pPr>
      <w:r>
        <w:rPr>
          <w:b/>
          <w:bCs/>
        </w:rPr>
        <w:t xml:space="preserve">Leverage/liquidity</w:t>
      </w:r>
      <w:r>
        <w:t xml:space="preserve">: consolidated net leverage ~4.4x on ~</w:t>
      </w:r>
      <m:oMath>
        <m:r>
          <m:t>2.3</m:t>
        </m:r>
        <m:r>
          <m:t>B</m:t>
        </m:r>
        <m:r>
          <m:t>L</m:t>
        </m:r>
        <m:r>
          <m:t>T</m:t>
        </m:r>
        <m:r>
          <m:t>M</m:t>
        </m:r>
        <m:r>
          <m:t>E</m:t>
        </m:r>
        <m:r>
          <m:t>B</m:t>
        </m:r>
        <m:r>
          <m:t>I</m:t>
        </m:r>
        <m:r>
          <m:t>T</m:t>
        </m:r>
        <m:r>
          <m:t>D</m:t>
        </m:r>
        <m:r>
          <m:t>A</m:t>
        </m:r>
        <m:r>
          <m:t>R</m:t>
        </m:r>
        <m:r>
          <m:rPr>
            <m:sty m:val="p"/>
          </m:rPr>
          <m:t>;</m:t>
        </m:r>
        <m:r>
          <m:t> </m:t>
        </m:r>
      </m:oMath>
      <w:r>
        <w:t xml:space="preserve">4.4B global cash + revolver availability. Solid, but the market will weigh the UAE equity calls plus the new Macau capex.</w:t>
      </w:r>
    </w:p>
    <w:p>
      <w:r>
        <w:pict>
          <v:rect style="width:0;height:1.5pt" o:hralign="center" o:hrstd="t" o:hr="t"/>
        </w:pict>
      </w:r>
    </w:p>
    <w:bookmarkEnd w:id="16"/>
    <w:bookmarkEnd w:id="17"/>
    <w:bookmarkStart w:id="18" w:name="Xbb10c08bb3922d49282ec1bd7a0d7f15ce38d6a"/>
    <w:p>
      <w:pPr>
        <w:pStyle w:val="Heading2"/>
      </w:pPr>
      <w:r>
        <w:t xml:space="preserve">The growing Macau capex story (new since last year)</w:t>
      </w:r>
    </w:p>
    <w:p>
      <w:pPr>
        <w:pStyle w:val="FirstParagraph"/>
      </w:pPr>
      <w:r>
        <w:t xml:space="preserve">Two Macau expansion items now sit alongside operations:</w:t>
      </w:r>
    </w:p>
    <w:p>
      <w:pPr>
        <w:pStyle w:val="Compact"/>
        <w:numPr>
          <w:ilvl w:val="0"/>
          <w:numId w:val="1005"/>
        </w:numPr>
      </w:pPr>
      <w:r>
        <w:rPr>
          <w:b/>
          <w:bCs/>
        </w:rPr>
        <w:t xml:space="preserve">The Enclave at Wynn Palace</w:t>
      </w:r>
      <w:r>
        <w:t xml:space="preserve"> </w:t>
      </w:r>
      <w:r>
        <w:t xml:space="preserve">— a</w:t>
      </w:r>
      <w:r>
        <w:t xml:space="preserve"> </w:t>
      </w:r>
      <m:oMath>
        <m:r>
          <m:t>900</m:t>
        </m:r>
        <m:r>
          <m:rPr>
            <m:sty m:val="p"/>
          </m:rPr>
          <m:t>–</m:t>
        </m:r>
        <m:r>
          <m:t>950</m:t>
        </m:r>
        <m:r>
          <m:t>M</m:t>
        </m:r>
        <m:r>
          <m:rPr>
            <m:sty m:val="p"/>
          </m:rPr>
          <m:t>*</m:t>
        </m:r>
        <m:r>
          <m:rPr>
            <m:sty m:val="p"/>
          </m:rPr>
          <m:t>*</m:t>
        </m:r>
        <m:r>
          <m:rPr>
            <m:sty m:val="p"/>
          </m:rPr>
          <m:t>,</m:t>
        </m:r>
        <m:r>
          <m:t>432</m:t>
        </m:r>
        <m:r>
          <m:rPr>
            <m:sty m:val="p"/>
          </m:rPr>
          <m:t>−</m:t>
        </m:r>
        <m:r>
          <m:t>a</m:t>
        </m:r>
        <m:r>
          <m:t>l</m:t>
        </m:r>
        <m:r>
          <m:t>l</m:t>
        </m:r>
        <m:r>
          <m:rPr>
            <m:sty m:val="p"/>
          </m:rPr>
          <m:t>−</m:t>
        </m:r>
        <m:r>
          <m:t>s</m:t>
        </m:r>
        <m:r>
          <m:t>u</m:t>
        </m:r>
        <m:r>
          <m:t>i</m:t>
        </m:r>
        <m:r>
          <m:t>t</m:t>
        </m:r>
        <m:r>
          <m:t>e</m:t>
        </m:r>
        <m:r>
          <m:t>t</m:t>
        </m:r>
        <m:r>
          <m:t>o</m:t>
        </m:r>
        <m:r>
          <m:t>w</m:t>
        </m:r>
        <m:r>
          <m:t>e</m:t>
        </m:r>
        <m:r>
          <m:t>r</m:t>
        </m:r>
        <m:r>
          <m:rPr>
            <m:sty m:val="p"/>
          </m:rPr>
          <m:t>(</m:t>
        </m:r>
        <m:r>
          <m:t>a</m:t>
        </m:r>
        <m:r>
          <m:t>n</m:t>
        </m:r>
        <m:r>
          <m:t>n</m:t>
        </m:r>
        <m:r>
          <m:t>o</m:t>
        </m:r>
        <m:r>
          <m:t>u</m:t>
        </m:r>
        <m:r>
          <m:t>n</m:t>
        </m:r>
        <m:r>
          <m:t>c</m:t>
        </m:r>
        <m:r>
          <m:t>e</m:t>
        </m:r>
        <m:r>
          <m:t>d</m:t>
        </m:r>
        <m:r>
          <m:t>Q</m:t>
        </m:r>
        <m:r>
          <m:t>1</m:t>
        </m:r>
        <m:r>
          <m:rPr>
            <m:sty m:val="p"/>
          </m:rPr>
          <m:t>)</m:t>
        </m:r>
        <m:r>
          <m:t>t</m:t>
        </m:r>
        <m:r>
          <m:t>h</m:t>
        </m:r>
        <m:r>
          <m:t>a</m:t>
        </m:r>
        <m:r>
          <m:t>t</m:t>
        </m:r>
        <m:r>
          <m:t>a</m:t>
        </m:r>
        <m:r>
          <m:t>d</m:t>
        </m:r>
        <m:r>
          <m:t>d</m:t>
        </m:r>
        <m:r>
          <m:t>s</m:t>
        </m:r>
        <m:r>
          <m:t> </m:t>
        </m:r>
        <m:r>
          <m:t>25</m:t>
        </m:r>
      </m:oMath>
      <w:r>
        <w:rPr>
          <w:b/>
          <w:bCs/>
        </w:rPr>
        <w:t xml:space="preserve">400M and ~</w:t>
      </w:r>
      <m:oMath>
        <m:r>
          <m:t>150</m:t>
        </m:r>
        <m:r>
          <m:rPr>
            <m:sty m:val="p"/>
          </m:rPr>
          <m:t>–</m:t>
        </m:r>
        <m:r>
          <m:t>175</m:t>
        </m:r>
        <m:r>
          <m:t>M</m:t>
        </m:r>
        <m:r>
          <m:t>o</m:t>
        </m:r>
        <m:r>
          <m:t>f</m:t>
        </m:r>
        <m:r>
          <m:t>E</m:t>
        </m:r>
        <m:r>
          <m:t>B</m:t>
        </m:r>
        <m:r>
          <m:t>I</m:t>
        </m:r>
        <m:r>
          <m:t>T</m:t>
        </m:r>
        <m:r>
          <m:t>D</m:t>
        </m:r>
        <m:r>
          <m:t>A</m:t>
        </m:r>
        <m:r>
          <m:rPr>
            <m:sty m:val="p"/>
          </m:rPr>
          <m:t>.</m:t>
        </m:r>
        <m:r>
          <m:t>2026</m:t>
        </m:r>
        <m:r>
          <m:t>s</m:t>
        </m:r>
        <m:r>
          <m:t>p</m:t>
        </m:r>
        <m:r>
          <m:t>e</m:t>
        </m:r>
        <m:r>
          <m:t>n</m:t>
        </m:r>
        <m:r>
          <m:t>d</m:t>
        </m:r>
        <m:r>
          <m:t>i</m:t>
        </m:r>
        <m:r>
          <m:t>s</m:t>
        </m:r>
        <m:r>
          <m:t>l</m:t>
        </m:r>
        <m:r>
          <m:t>i</m:t>
        </m:r>
        <m:r>
          <m:t>m</m:t>
        </m:r>
        <m:r>
          <m:t>i</m:t>
        </m:r>
        <m:r>
          <m:t>t</m:t>
        </m:r>
        <m:r>
          <m:t>e</m:t>
        </m:r>
        <m:r>
          <m:t>d</m:t>
        </m:r>
        <m:r>
          <m:t>t</m:t>
        </m:r>
        <m:r>
          <m:t>o</m:t>
        </m:r>
        <m:r>
          <m:t>p</m:t>
        </m:r>
        <m:r>
          <m:t>i</m:t>
        </m:r>
        <m:r>
          <m:t>l</m:t>
        </m:r>
        <m:r>
          <m:t>i</m:t>
        </m:r>
        <m:r>
          <m:t>n</m:t>
        </m:r>
        <m:r>
          <m:t>g</m:t>
        </m:r>
        <m:r>
          <m:rPr>
            <m:sty m:val="p"/>
          </m:rPr>
          <m:t>/</m:t>
        </m:r>
        <m:r>
          <m:t>e</m:t>
        </m:r>
        <m:r>
          <m:t>a</m:t>
        </m:r>
        <m:r>
          <m:t>r</m:t>
        </m:r>
        <m:r>
          <m:t>l</m:t>
        </m:r>
        <m:r>
          <m:t>y</m:t>
        </m:r>
        <m:r>
          <m:t>w</m:t>
        </m:r>
        <m:r>
          <m:t>o</m:t>
        </m:r>
        <m:r>
          <m:t>r</m:t>
        </m:r>
        <m:r>
          <m:t>k</m:t>
        </m:r>
        <m:r>
          <m:t>s</m:t>
        </m:r>
        <m:r>
          <m:t>w</m:t>
        </m:r>
        <m:r>
          <m:t>i</m:t>
        </m:r>
        <m:r>
          <m:t>t</m:t>
        </m:r>
        <m:r>
          <m:t>h</m:t>
        </m:r>
        <m:r>
          <m:t>i</m:t>
        </m:r>
        <m:r>
          <m:t>n</m:t>
        </m:r>
        <m:r>
          <m:t>a</m:t>
        </m:r>
        <m:r>
          <m:rPr>
            <m:sty m:val="p"/>
          </m:rPr>
          <m:t>*</m:t>
        </m:r>
        <m:r>
          <m:rPr>
            <m:sty m:val="p"/>
          </m:rPr>
          <m:t>*</m:t>
        </m:r>
      </m:oMath>
      <w:r>
        <w:rPr>
          <w:b/>
          <w:bCs/>
        </w:rPr>
        <w:t xml:space="preserve">400–450M expansionary capex</w:t>
      </w:r>
      <w:r>
        <w:t xml:space="preserve"> </w:t>
      </w:r>
      <w:r>
        <w:t xml:space="preserve">budget.</w:t>
      </w:r>
    </w:p>
    <w:p>
      <w:pPr>
        <w:pStyle w:val="Compact"/>
        <w:numPr>
          <w:ilvl w:val="0"/>
          <w:numId w:val="1005"/>
        </w:numPr>
      </w:pPr>
      <w:r>
        <w:rPr>
          <w:b/>
          <w:bCs/>
        </w:rPr>
        <w:t xml:space="preserve">Land concession amendment (July 22, 2026)</w:t>
      </w:r>
      <w:r>
        <w:t xml:space="preserve"> </w:t>
      </w:r>
      <w:r>
        <w:t xml:space="preserve">— the Macau government published the amended Cotai land concession permitting a</w:t>
      </w:r>
      <w:r>
        <w:t xml:space="preserve"> </w:t>
      </w:r>
      <w:r>
        <w:rPr>
          <w:b/>
          <w:bCs/>
        </w:rPr>
        <w:t xml:space="preserve">new five-star hotel, a theatre, and an event/entertainment centre</w:t>
      </w:r>
      <w:r>
        <w:t xml:space="preserve">, with a</w:t>
      </w:r>
      <w:r>
        <w:t xml:space="preserve"> </w:t>
      </w:r>
      <w:r>
        <w:rPr>
          <w:b/>
          <w:bCs/>
        </w:rPr>
        <w:t xml:space="preserve">60-month build window</w:t>
      </w:r>
      <w:r>
        <w:t xml:space="preserve">. It requires a one-time additional land premium of</w:t>
      </w:r>
      <w:r>
        <w:t xml:space="preserve"> </w:t>
      </w:r>
      <w:r>
        <w:rPr>
          <w:b/>
          <w:bCs/>
        </w:rPr>
        <w:t xml:space="preserve">~US$80.8M</w:t>
      </w:r>
      <w:r>
        <w:t xml:space="preserve"> </w:t>
      </w:r>
      <w:r>
        <w:t xml:space="preserve">(paid from cash) plus higher annual rent. This effectively de-risks/greenlights the Wynn Palace expansion path and is a modest positive that should get airtime on the call.</w:t>
      </w:r>
    </w:p>
    <w:p>
      <w:pPr>
        <w:pStyle w:val="FirstParagraph"/>
      </w:pPr>
      <w:r>
        <w:t xml:space="preserve">Expect management to reconcile these Macau projects, the Vegas remodel, and UAE equity into an overall multi-year capital picture — the "how much pig through the python" question.</w:t>
      </w:r>
    </w:p>
    <w:p>
      <w:r>
        <w:pict>
          <v:rect style="width:0;height:1.5pt" o:hralign="center" o:hrstd="t" o:hr="t"/>
        </w:pict>
      </w:r>
    </w:p>
    <w:bookmarkEnd w:id="18"/>
    <w:bookmarkStart w:id="19" w:name="X6627c8e2c554d0d046d424e37e95ee442d1f99f"/>
    <w:p>
      <w:pPr>
        <w:pStyle w:val="Heading2"/>
      </w:pPr>
      <w:r>
        <w:t xml:space="preserve">How the stock is positioned into the print</w:t>
      </w:r>
    </w:p>
    <w:p>
      <w:pPr>
        <w:pStyle w:val="Compact"/>
        <w:numPr>
          <w:ilvl w:val="0"/>
          <w:numId w:val="1006"/>
        </w:numPr>
      </w:pPr>
      <w:r>
        <w:rPr>
          <w:b/>
          <w:bCs/>
        </w:rPr>
        <w:t xml:space="preserve">YTD: ~-20%</w:t>
      </w:r>
      <w:r>
        <w:t xml:space="preserve">, and down ~8% from the post-Q1 level (~$107.57 on May 7) to $98.38.</w:t>
      </w:r>
    </w:p>
    <w:p>
      <w:pPr>
        <w:pStyle w:val="Compact"/>
        <w:numPr>
          <w:ilvl w:val="0"/>
          <w:numId w:val="1006"/>
        </w:numPr>
      </w:pPr>
      <w:r>
        <w:t xml:space="preserve">Traded down to the **mid-</w:t>
      </w:r>
      <m:oMath>
        <m:r>
          <m:t>90</m:t>
        </m:r>
        <m:r>
          <m:t>s</m:t>
        </m:r>
        <m:r>
          <m:t>i</m:t>
        </m:r>
        <m:r>
          <m:t>n</m:t>
        </m:r>
        <m:r>
          <m:t>m</m:t>
        </m:r>
        <m:r>
          <m:t>i</m:t>
        </m:r>
        <m:r>
          <m:t>d</m:t>
        </m:r>
        <m:r>
          <m:rPr>
            <m:sty m:val="p"/>
          </m:rPr>
          <m:t>−</m:t>
        </m:r>
        <m:r>
          <m:t>J</m:t>
        </m:r>
        <m:r>
          <m:t>u</m:t>
        </m:r>
        <m:r>
          <m:t>l</m:t>
        </m:r>
        <m:r>
          <m:t>y</m:t>
        </m:r>
        <m:r>
          <m:rPr>
            <m:sty m:val="p"/>
          </m:rPr>
          <m:t>*</m:t>
        </m:r>
        <m:r>
          <m:rPr>
            <m:sty m:val="p"/>
          </m:rPr>
          <m:t>*</m:t>
        </m:r>
        <m:r>
          <m:t>b</m:t>
        </m:r>
        <m:r>
          <m:t>e</m:t>
        </m:r>
        <m:r>
          <m:t>f</m:t>
        </m:r>
        <m:r>
          <m:t>o</m:t>
        </m:r>
        <m:r>
          <m:t>r</m:t>
        </m:r>
        <m:r>
          <m:t>e</m:t>
        </m:r>
        <m:r>
          <m:t>a</m:t>
        </m:r>
        <m:r>
          <m:t>l</m:t>
        </m:r>
        <m:r>
          <m:t>a</m:t>
        </m:r>
        <m:r>
          <m:t>t</m:t>
        </m:r>
        <m:r>
          <m:t>e</m:t>
        </m:r>
        <m:r>
          <m:rPr>
            <m:sty m:val="p"/>
          </m:rPr>
          <m:t>−</m:t>
        </m:r>
        <m:r>
          <m:t>J</m:t>
        </m:r>
        <m:r>
          <m:t>u</m:t>
        </m:r>
        <m:r>
          <m:t>l</m:t>
        </m:r>
        <m:r>
          <m:t>y</m:t>
        </m:r>
        <m:r>
          <m:t>b</m:t>
        </m:r>
        <m:r>
          <m:t>o</m:t>
        </m:r>
        <m:r>
          <m:t>u</m:t>
        </m:r>
        <m:r>
          <m:t>n</m:t>
        </m:r>
        <m:r>
          <m:t>c</m:t>
        </m:r>
        <m:r>
          <m:t>e</m:t>
        </m:r>
        <m:r>
          <m:t>t</m:t>
        </m:r>
        <m:r>
          <m:t>o</m:t>
        </m:r>
        <m:r>
          <m:t> </m:t>
        </m:r>
      </m:oMath>
      <w:r>
        <w:t xml:space="preserve">100, fading again into the print.</w:t>
      </w:r>
    </w:p>
    <w:p>
      <w:pPr>
        <w:pStyle w:val="Compact"/>
        <w:numPr>
          <w:ilvl w:val="0"/>
          <w:numId w:val="1006"/>
        </w:numPr>
      </w:pPr>
      <w:r>
        <w:t xml:space="preserve">The de-rating reflects UAE/geopolitical overhang and China/consumer sentiment more than company execution — which sets up an</w:t>
      </w:r>
      <w:r>
        <w:t xml:space="preserve"> </w:t>
      </w:r>
      <w:r>
        <w:rPr>
          <w:b/>
          <w:bCs/>
        </w:rPr>
        <w:t xml:space="preserve">asymmetry</w:t>
      </w:r>
      <w:r>
        <w:t xml:space="preserve">: operational results have generally beaten the tape, so the bar on the</w:t>
      </w:r>
      <w:r>
        <w:t xml:space="preserve"> </w:t>
      </w:r>
      <w:r>
        <w:rPr>
          <w:i/>
          <w:iCs/>
        </w:rPr>
        <w:t xml:space="preserve">numbers</w:t>
      </w:r>
      <w:r>
        <w:t xml:space="preserve"> </w:t>
      </w:r>
      <w:r>
        <w:t xml:space="preserve">is arguably low, while the bar on</w:t>
      </w:r>
      <w:r>
        <w:t xml:space="preserve"> </w:t>
      </w:r>
      <w:r>
        <w:rPr>
          <w:i/>
          <w:iCs/>
        </w:rPr>
        <w:t xml:space="preserve">UAE reassurance</w:t>
      </w:r>
      <w:r>
        <w:t xml:space="preserve"> </w:t>
      </w:r>
      <w:r>
        <w:t xml:space="preserve">is what's binding.</w:t>
      </w:r>
    </w:p>
    <w:p>
      <w:r>
        <w:pict>
          <v:rect style="width:0;height:1.5pt" o:hralign="center" o:hrstd="t" o:hr="t"/>
        </w:pict>
      </w:r>
    </w:p>
    <w:bookmarkEnd w:id="19"/>
    <w:bookmarkStart w:id="20" w:name="bottom-line-for-investors"/>
    <w:p>
      <w:pPr>
        <w:pStyle w:val="Heading2"/>
      </w:pPr>
      <w:r>
        <w:t xml:space="preserve">Bottom line for investors</w:t>
      </w:r>
    </w:p>
    <w:p>
      <w:pPr>
        <w:pStyle w:val="FirstParagraph"/>
      </w:pPr>
      <w:r>
        <w:t xml:space="preserve">Wynn is executing well operationally — Macau volumes are inflecting, Las Vegas keeps taking share, and the balance sheet supports both growth capex and buybacks — but the shares are trading as if the</w:t>
      </w:r>
      <w:r>
        <w:t xml:space="preserve"> </w:t>
      </w:r>
      <w:r>
        <w:rPr>
          <w:b/>
          <w:bCs/>
        </w:rPr>
        <w:t xml:space="preserve">UAE timeline is at risk</w:t>
      </w:r>
      <w:r>
        <w:t xml:space="preserve">. Into Q2:</w:t>
      </w:r>
    </w:p>
    <w:p>
      <w:pPr>
        <w:pStyle w:val="Compact"/>
        <w:numPr>
          <w:ilvl w:val="0"/>
          <w:numId w:val="1007"/>
        </w:numPr>
      </w:pPr>
      <w:r>
        <w:rPr>
          <w:b/>
          <w:bCs/>
        </w:rPr>
        <w:t xml:space="preserve">Watch first for the UAE</w:t>
      </w:r>
      <w:r>
        <w:t xml:space="preserve">: a quantified, still-"modest" delay with an intact 2027 opening and on-budget messaging is the most likely relief catalyst; escalation-driven slippage is the key downside.</w:t>
      </w:r>
    </w:p>
    <w:p>
      <w:pPr>
        <w:pStyle w:val="Compact"/>
        <w:numPr>
          <w:ilvl w:val="0"/>
          <w:numId w:val="1007"/>
        </w:numPr>
      </w:pPr>
      <w:r>
        <w:rPr>
          <w:b/>
          <w:bCs/>
        </w:rPr>
        <w:t xml:space="preserve">On the numbers</w:t>
      </w:r>
      <w:r>
        <w:t xml:space="preserve">, respect the tough Q2 2025 comps in Las Vegas and Boston, and parse Macau results for</w:t>
      </w:r>
      <w:r>
        <w:t xml:space="preserve"> </w:t>
      </w:r>
      <w:r>
        <w:rPr>
          <w:b/>
          <w:bCs/>
        </w:rPr>
        <w:t xml:space="preserve">hold normalization</w:t>
      </w:r>
      <w:r>
        <w:t xml:space="preserve"> </w:t>
      </w:r>
      <w:r>
        <w:t xml:space="preserve">and</w:t>
      </w:r>
      <w:r>
        <w:t xml:space="preserve"> </w:t>
      </w:r>
      <w:r>
        <w:rPr>
          <w:b/>
          <w:bCs/>
        </w:rPr>
        <w:t xml:space="preserve">quarter-to-date/July run-rate</w:t>
      </w:r>
      <w:r>
        <w:t xml:space="preserve"> </w:t>
      </w:r>
      <w:r>
        <w:t xml:space="preserve">commentary.</w:t>
      </w:r>
    </w:p>
    <w:p>
      <w:pPr>
        <w:pStyle w:val="Compact"/>
        <w:numPr>
          <w:ilvl w:val="0"/>
          <w:numId w:val="1007"/>
        </w:numPr>
      </w:pPr>
      <w:r>
        <w:rPr>
          <w:b/>
          <w:bCs/>
        </w:rPr>
        <w:t xml:space="preserve">Margin discipline</w:t>
      </w:r>
      <w:r>
        <w:t xml:space="preserve"> </w:t>
      </w:r>
      <w:r>
        <w:t xml:space="preserve">in Vegas (wage/food inflation + Encore Tower disruption) and</w:t>
      </w:r>
      <w:r>
        <w:t xml:space="preserve"> </w:t>
      </w:r>
      <w:r>
        <w:rPr>
          <w:b/>
          <w:bCs/>
        </w:rPr>
        <w:t xml:space="preserve">Boston's structural softness</w:t>
      </w:r>
      <w:r>
        <w:t xml:space="preserve"> </w:t>
      </w:r>
      <w:r>
        <w:t xml:space="preserve">are the areas most likely to disappoint versus a strong year-ago base.</w:t>
      </w:r>
    </w:p>
    <w:p>
      <w:pPr>
        <w:pStyle w:val="Compact"/>
        <w:numPr>
          <w:ilvl w:val="0"/>
          <w:numId w:val="1007"/>
        </w:numPr>
      </w:pPr>
      <w:r>
        <w:rPr>
          <w:b/>
          <w:bCs/>
        </w:rPr>
        <w:t xml:space="preserve">Capital returns</w:t>
      </w:r>
      <w:r>
        <w:t xml:space="preserve"> </w:t>
      </w:r>
      <w:r>
        <w:t xml:space="preserve">pace against a ~20%-lower share price is a tell on management conviction.</w:t>
      </w:r>
    </w:p>
    <w:p>
      <w:pPr>
        <w:pStyle w:val="FirstParagraph"/>
      </w:pPr>
      <w:r>
        <w:t xml:space="preserve">Net: this is a quarter where the reported EBITDAR may matter less than the</w:t>
      </w:r>
      <w:r>
        <w:t xml:space="preserve"> </w:t>
      </w:r>
      <w:r>
        <w:rPr>
          <w:b/>
          <w:bCs/>
        </w:rPr>
        <w:t xml:space="preserve">words on UAE and the Macau run-rate</w:t>
      </w:r>
      <w:r>
        <w:t xml:space="preserve">. Given depressed positioning, the risk/reward skews toward a positive reaction</w:t>
      </w:r>
      <w:r>
        <w:t xml:space="preserve"> </w:t>
      </w:r>
      <w:r>
        <w:rPr>
          <w:i/>
          <w:iCs/>
        </w:rPr>
        <w:t xml:space="preserve">if</w:t>
      </w:r>
      <w:r>
        <w:t xml:space="preserve"> </w:t>
      </w:r>
      <w:r>
        <w:t xml:space="preserve">management can firmly re-anchor the Al Marjan timeline.</w:t>
      </w:r>
    </w:p>
    <w:p>
      <w:pPr>
        <w:pStyle w:val="BodyText"/>
      </w:pPr>
      <w:r>
        <w:rPr>
          <w:i/>
          <w:iCs/>
        </w:rPr>
        <w:t xml:space="preserve">(Preview based on Wynn's Q1 2026 earnings call and release, the Q2 2025 comparison quarter, the July 22, 2026 Macau land-concession amendment, and recent price/market context. Figures are as reported by the company; actual Q2 2026 results and management commentary will be released August 4.)</w:t>
      </w:r>
    </w:p>
    <w:bookmarkEnd w:id="2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2026-08-04T01:25:19Z</dcterms:created>
  <dcterms:modified xsi:type="dcterms:W3CDTF">2026-08-04T01:25:19Z</dcterms:modified>
</cp:coreProperties>
</file>

<file path=docProps/custom.xml><?xml version="1.0" encoding="utf-8"?>
<Properties xmlns="http://schemas.openxmlformats.org/officeDocument/2006/custom-properties" xmlns:vt="http://schemas.openxmlformats.org/officeDocument/2006/docPropsVTypes"/>
</file>