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wynn-earnings-predictions--2026-08-04"/>
    <w:p>
      <w:pPr>
        <w:pStyle w:val="Heading1"/>
      </w:pPr>
      <w:r>
        <w:t xml:space="preserve">WYNN Earnings Predictions — 2026-08-04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WYNN</w:t>
            </w:r>
          </w:p>
        </w:tc>
        <w:tc>
          <w:tcPr/>
          <w:p>
            <w:pPr>
              <w:pStyle w:val="Compact"/>
            </w:pPr>
            <w:r>
              <w:t xml:space="preserve">Report</w:t>
            </w:r>
          </w:p>
        </w:tc>
        <w:tc>
          <w:tcPr/>
          <w:p>
            <w:pPr>
              <w:pStyle w:val="Compact"/>
            </w:pPr>
            <w:r>
              <w:t xml:space="preserve">Consolidated Adjusted Property EBITDAR</w:t>
            </w:r>
          </w:p>
        </w:tc>
        <w:tc>
          <w:tcPr/>
          <w:p>
            <w:pPr>
              <w:pStyle w:val="Compact"/>
            </w:pPr>
            <w:r>
              <w:t xml:space="preserve">BEAT</w:t>
            </w:r>
          </w:p>
        </w:tc>
        <w:tc>
          <w:tcPr/>
          <w:p>
            <w:pPr>
              <w:pStyle w:val="Compact"/>
            </w:pPr>
            <w:r>
              <w:t xml:space="preserve">pred ~$576M vs. cons $568M</w:t>
            </w:r>
          </w:p>
        </w:tc>
        <w:tc>
          <w:tcPr/>
          <w:p>
            <w:pPr>
              <w:pStyle w:val="Compact"/>
            </w:pPr>
            <w:r>
              <w:t xml:space="preserve">MEDIUM</w:t>
            </w:r>
          </w:p>
        </w:tc>
      </w:tr>
      <w:tr>
        <w:tc>
          <w:tcPr/>
          <w:p>
            <w:pPr>
              <w:pStyle w:val="Compact"/>
            </w:pPr>
            <w:r>
              <w:t xml:space="preserve">WYNN</w:t>
            </w:r>
          </w:p>
        </w:tc>
        <w:tc>
          <w:tcPr/>
          <w:p>
            <w:pPr>
              <w:pStyle w:val="Compact"/>
            </w:pPr>
            <w:r>
              <w:t xml:space="preserve">Report</w:t>
            </w:r>
          </w:p>
        </w:tc>
        <w:tc>
          <w:tcPr/>
          <w:p>
            <w:pPr>
              <w:pStyle w:val="Compact"/>
            </w:pPr>
            <w:r>
              <w:t xml:space="preserve">Macau Adjusted Property EBITDAR</w:t>
            </w:r>
          </w:p>
        </w:tc>
        <w:tc>
          <w:tcPr/>
          <w:p>
            <w:pPr>
              <w:pStyle w:val="Compact"/>
            </w:pPr>
            <w:r>
              <w:t xml:space="preserve">MISS</w:t>
            </w:r>
          </w:p>
        </w:tc>
        <w:tc>
          <w:tcPr/>
          <w:p>
            <w:pPr>
              <w:pStyle w:val="Compact"/>
            </w:pPr>
            <w:r>
              <w:t xml:space="preserve">pred ~$282M vs. cons $286M</w:t>
            </w:r>
          </w:p>
        </w:tc>
        <w:tc>
          <w:tcPr/>
          <w:p>
            <w:pPr>
              <w:pStyle w:val="Compact"/>
            </w:pPr>
            <w:r>
              <w:t xml:space="preserve">MEDIUM</w:t>
            </w:r>
          </w:p>
        </w:tc>
      </w:tr>
      <w:tr>
        <w:tc>
          <w:tcPr/>
          <w:p>
            <w:pPr>
              <w:pStyle w:val="Compact"/>
            </w:pPr>
            <w:r>
              <w:t xml:space="preserve">WYNN</w:t>
            </w:r>
          </w:p>
        </w:tc>
        <w:tc>
          <w:tcPr/>
          <w:p>
            <w:pPr>
              <w:pStyle w:val="Compact"/>
            </w:pPr>
            <w:r>
              <w:t xml:space="preserve">Report</w:t>
            </w:r>
          </w:p>
        </w:tc>
        <w:tc>
          <w:tcPr/>
          <w:p>
            <w:pPr>
              <w:pStyle w:val="Compact"/>
            </w:pPr>
            <w:r>
              <w:t xml:space="preserve">Las Vegas Adjusted Property EBITDAR</w:t>
            </w:r>
          </w:p>
        </w:tc>
        <w:tc>
          <w:tcPr/>
          <w:p>
            <w:pPr>
              <w:pStyle w:val="Compact"/>
            </w:pPr>
            <w:r>
              <w:t xml:space="preserve">BEAT</w:t>
            </w:r>
          </w:p>
        </w:tc>
        <w:tc>
          <w:tcPr/>
          <w:p>
            <w:pPr>
              <w:pStyle w:val="Compact"/>
            </w:pPr>
            <w:r>
              <w:t xml:space="preserve">pred ~$239M vs. cons $235M</w:t>
            </w:r>
          </w:p>
        </w:tc>
        <w:tc>
          <w:tcPr/>
          <w:p>
            <w:pPr>
              <w:pStyle w:val="Compact"/>
            </w:pPr>
            <w:r>
              <w:t xml:space="preserve">MEDIUM</w:t>
            </w:r>
          </w:p>
        </w:tc>
      </w:tr>
      <w:tr>
        <w:tc>
          <w:tcPr/>
          <w:p>
            <w:pPr>
              <w:pStyle w:val="Compact"/>
            </w:pPr>
            <w:r>
              <w:t xml:space="preserve">WYNN</w:t>
            </w:r>
          </w:p>
        </w:tc>
        <w:tc>
          <w:tcPr/>
          <w:p>
            <w:pPr>
              <w:pStyle w:val="Compact"/>
            </w:pPr>
            <w:r>
              <w:t xml:space="preserve">Guide</w:t>
            </w:r>
          </w:p>
        </w:tc>
        <w:tc>
          <w:tcPr/>
          <w:p>
            <w:pPr>
              <w:pStyle w:val="Compact"/>
            </w:pPr>
            <w:r>
              <w:t xml:space="preserve">Macau Adjusted Property EBITDAR run-rate</w:t>
            </w:r>
          </w:p>
        </w:tc>
        <w:tc>
          <w:tcPr/>
          <w:p>
            <w:pPr>
              <w:pStyle w:val="Compact"/>
            </w:pPr>
            <w:r>
              <w:t xml:space="preserve">LOWER</w:t>
            </w:r>
          </w:p>
        </w:tc>
        <w:tc>
          <w:tcPr/>
          <w:p>
            <w:pPr>
              <w:pStyle w:val="Compact"/>
            </w:pPr>
            <w:r>
              <w:t xml:space="preserve">guide ~$292M vs. cons $298M (Q3 2026)</w:t>
            </w:r>
          </w:p>
        </w:tc>
        <w:tc>
          <w:tcPr/>
          <w:p>
            <w:pPr>
              <w:pStyle w:val="Compact"/>
            </w:pPr>
            <w:r>
              <w:t xml:space="preserve">LOW</w:t>
            </w:r>
          </w:p>
        </w:tc>
      </w:tr>
      <w:tr>
        <w:tc>
          <w:tcPr/>
          <w:p>
            <w:pPr>
              <w:pStyle w:val="Compact"/>
            </w:pPr>
            <w:r>
              <w:t xml:space="preserve">WYNN</w:t>
            </w:r>
          </w:p>
        </w:tc>
        <w:tc>
          <w:tcPr/>
          <w:p>
            <w:pPr>
              <w:pStyle w:val="Compact"/>
            </w:pPr>
            <w:r>
              <w:t xml:space="preserve">Guide</w:t>
            </w:r>
          </w:p>
        </w:tc>
        <w:tc>
          <w:tcPr/>
          <w:p>
            <w:pPr>
              <w:pStyle w:val="Compact"/>
            </w:pPr>
            <w:r>
              <w:t xml:space="preserve">Las Vegas Adjusted Property EBITDAR</w:t>
            </w:r>
          </w:p>
        </w:tc>
        <w:tc>
          <w:tcPr/>
          <w:p>
            <w:pPr>
              <w:pStyle w:val="Compact"/>
            </w:pPr>
            <w:r>
              <w:t xml:space="preserve">LOWER</w:t>
            </w:r>
          </w:p>
        </w:tc>
        <w:tc>
          <w:tcPr/>
          <w:p>
            <w:pPr>
              <w:pStyle w:val="Compact"/>
            </w:pPr>
            <w:r>
              <w:t xml:space="preserve">guide ~$220M vs. cons $223M (Q3 2026)</w:t>
            </w:r>
          </w:p>
        </w:tc>
        <w:tc>
          <w:tcPr/>
          <w:p>
            <w:pPr>
              <w:pStyle w:val="Compact"/>
            </w:pPr>
            <w:r>
              <w:t xml:space="preserve">LOW</w:t>
            </w:r>
          </w:p>
        </w:tc>
      </w:tr>
      <w:tr>
        <w:tc>
          <w:tcPr/>
          <w:p>
            <w:pPr>
              <w:pStyle w:val="Compact"/>
            </w:pPr>
            <w:r>
              <w:t xml:space="preserve">WYNN</w:t>
            </w:r>
          </w:p>
        </w:tc>
        <w:tc>
          <w:tcPr/>
          <w:p>
            <w:pPr>
              <w:pStyle w:val="Compact"/>
            </w:pPr>
            <w:r>
              <w:t xml:space="preserve">Guide</w:t>
            </w:r>
          </w:p>
        </w:tc>
        <w:tc>
          <w:tcPr/>
          <w:p>
            <w:pPr>
              <w:pStyle w:val="Compact"/>
            </w:pPr>
            <w:r>
              <w:t xml:space="preserve">Wynn Al Marjan opening timing</w:t>
            </w:r>
          </w:p>
        </w:tc>
        <w:tc>
          <w:tcPr/>
          <w:p>
            <w:pPr>
              <w:pStyle w:val="Compact"/>
            </w:pPr>
            <w:r>
              <w:t xml:space="preserve">UNCHANGED</w:t>
            </w:r>
          </w:p>
        </w:tc>
        <w:tc>
          <w:tcPr/>
          <w:p>
            <w:pPr>
              <w:pStyle w:val="Compact"/>
            </w:pPr>
            <w:r>
              <w:t xml:space="preserve">guide ~4Q27 vs. cons 4Q27 (opening period)</w:t>
            </w:r>
          </w:p>
        </w:tc>
        <w:tc>
          <w:tcPr/>
          <w:p>
            <w:pPr>
              <w:pStyle w:val="Compact"/>
            </w:pPr>
            <w:r>
              <w:t xml:space="preserve">MEDIUM</w:t>
            </w:r>
          </w:p>
        </w:tc>
      </w:tr>
      <w:tr>
        <w:tc>
          <w:tcPr/>
          <w:p>
            <w:pPr>
              <w:pStyle w:val="Compact"/>
            </w:pPr>
            <w:r>
              <w:t xml:space="preserve">WYNN</w:t>
            </w:r>
          </w:p>
        </w:tc>
        <w:tc>
          <w:tcPr/>
          <w:p>
            <w:pPr>
              <w:pStyle w:val="Compact"/>
            </w:pPr>
            <w:r>
              <w:t xml:space="preserve">Guide</w:t>
            </w:r>
          </w:p>
        </w:tc>
        <w:tc>
          <w:tcPr/>
          <w:p>
            <w:pPr>
              <w:pStyle w:val="Compact"/>
            </w:pPr>
            <w:r>
              <w:t xml:space="preserve">Wynn Al Marjan remaining equity requirement</w:t>
            </w:r>
          </w:p>
        </w:tc>
        <w:tc>
          <w:tcPr/>
          <w:p>
            <w:pPr>
              <w:pStyle w:val="Compact"/>
            </w:pPr>
            <w:r>
              <w:t xml:space="preserve">UNCHANGED</w:t>
            </w:r>
          </w:p>
        </w:tc>
        <w:tc>
          <w:tcPr/>
          <w:p>
            <w:pPr>
              <w:pStyle w:val="Compact"/>
            </w:pPr>
            <w:r>
              <w:t xml:space="preserve">guide ~$400M vs. cons $400M (through project completion)</w:t>
            </w:r>
          </w:p>
        </w:tc>
        <w:tc>
          <w:tcPr/>
          <w:p>
            <w:pPr>
              <w:pStyle w:val="Compact"/>
            </w:pPr>
            <w:r>
              <w:t xml:space="preserve">MEDIUM</w:t>
            </w:r>
          </w:p>
        </w:tc>
      </w:tr>
      <w:tr>
        <w:tc>
          <w:tcPr/>
          <w:p>
            <w:pPr>
              <w:pStyle w:val="Compact"/>
            </w:pPr>
            <w:r>
              <w:t xml:space="preserve">WYNN</w:t>
            </w:r>
          </w:p>
        </w:tc>
        <w:tc>
          <w:tcPr/>
          <w:p>
            <w:pPr>
              <w:pStyle w:val="Compact"/>
            </w:pPr>
            <w:r>
              <w:t xml:space="preserve">Guide</w:t>
            </w:r>
          </w:p>
        </w:tc>
        <w:tc>
          <w:tcPr/>
          <w:p>
            <w:pPr>
              <w:pStyle w:val="Compact"/>
            </w:pPr>
            <w:r>
              <w:t xml:space="preserve">Macau expansionary capital expenditure</w:t>
            </w:r>
          </w:p>
        </w:tc>
        <w:tc>
          <w:tcPr/>
          <w:p>
            <w:pPr>
              <w:pStyle w:val="Compact"/>
            </w:pPr>
            <w:r>
              <w:t xml:space="preserve">UNCHANGED</w:t>
            </w:r>
          </w:p>
        </w:tc>
        <w:tc>
          <w:tcPr/>
          <w:p>
            <w:pPr>
              <w:pStyle w:val="Compact"/>
            </w:pPr>
            <w:r>
              <w:t xml:space="preserve">guide ~$425M vs. cons $425M (FY2026)</w:t>
            </w:r>
          </w:p>
        </w:tc>
        <w:tc>
          <w:tcPr/>
          <w:p>
            <w:pPr>
              <w:pStyle w:val="Compact"/>
            </w:pPr>
            <w:r>
              <w:t xml:space="preserve">HIGH</w:t>
            </w:r>
          </w:p>
        </w:tc>
      </w:tr>
      <w:tr>
        <w:tc>
          <w:tcPr/>
          <w:p>
            <w:pPr>
              <w:pStyle w:val="Compact"/>
            </w:pPr>
            <w:r>
              <w:t xml:space="preserve">WYNN</w:t>
            </w:r>
          </w:p>
        </w:tc>
        <w:tc>
          <w:tcPr/>
          <w:p>
            <w:pPr>
              <w:pStyle w:val="Compact"/>
            </w:pPr>
            <w:r>
              <w:t xml:space="preserve">Return</w:t>
            </w:r>
          </w:p>
        </w:tc>
        <w:tc>
          <w:tcPr/>
          <w:p>
            <w:pPr>
              <w:pStyle w:val="Compact"/>
            </w:pPr>
            <w:r>
              <w:t xml:space="preserve">Day-1 residual (stock − beta × S&amp;P 500)</w:t>
            </w:r>
          </w:p>
        </w:tc>
        <w:tc>
          <w:tcPr/>
          <w:p>
            <w:pPr>
              <w:pStyle w:val="Compact"/>
            </w:pPr>
            <w:r>
              <w:t xml:space="preserve">+2.2%</w:t>
            </w:r>
          </w:p>
        </w:tc>
        <w:tc>
          <w:tcPr/>
          <w:p>
            <w:pPr>
              <w:pStyle w:val="Compact"/>
            </w:pPr>
            <w:r>
              <w:t xml:space="preserve">—</w:t>
            </w:r>
          </w:p>
        </w:tc>
        <w:tc>
          <w:tcPr/>
          <w:p>
            <w:pPr>
              <w:pStyle w:val="Compact"/>
            </w:pPr>
            <w:r>
              <w:t xml:space="preserve">MEDIUM</w:t>
            </w:r>
          </w:p>
        </w:tc>
      </w:tr>
      <w:tr>
        <w:tc>
          <w:tcPr/>
          <w:p>
            <w:pPr>
              <w:pStyle w:val="Compact"/>
            </w:pPr>
            <w:r>
              <w:t xml:space="preserve">WYNN</w:t>
            </w:r>
          </w:p>
        </w:tc>
        <w:tc>
          <w:tcPr/>
          <w:p>
            <w:pPr>
              <w:pStyle w:val="Compact"/>
            </w:pPr>
            <w:r>
              <w:t xml:space="preserve">Return</w:t>
            </w:r>
          </w:p>
        </w:tc>
        <w:tc>
          <w:tcPr/>
          <w:p>
            <w:pPr>
              <w:pStyle w:val="Compact"/>
            </w:pPr>
            <w:r>
              <w:t xml:space="preserve">5-day cumulative residual</w:t>
            </w:r>
          </w:p>
        </w:tc>
        <w:tc>
          <w:tcPr/>
          <w:p>
            <w:pPr>
              <w:pStyle w:val="Compact"/>
            </w:pPr>
            <w:r>
              <w:t xml:space="preserve">+0.8% (FADE)</w:t>
            </w:r>
          </w:p>
        </w:tc>
        <w:tc>
          <w:tcPr/>
          <w:p>
            <w:pPr>
              <w:pStyle w:val="Compact"/>
            </w:pPr>
            <w:r>
              <w:t xml:space="preserve">Day-5 residual ~+0.8% vs. day-1 residual +2.2%: an initial consolidated EBITDAR beat and unchanged 4Q27 Al Marjan timing should help, but softer normalized Macau and Q3 Las Vegas math should limit upward estimate revisions and partially reverse the first-day gain.</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2026-08-04T01:26:24Z</dcterms:created>
  <dcterms:modified xsi:type="dcterms:W3CDTF">2026-08-04T01:26:24Z</dcterms:modified>
</cp:coreProperties>
</file>

<file path=docProps/custom.xml><?xml version="1.0" encoding="utf-8"?>
<Properties xmlns="http://schemas.openxmlformats.org/officeDocument/2006/custom-properties" xmlns:vt="http://schemas.openxmlformats.org/officeDocument/2006/docPropsVTypes"/>
</file>