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wynn-q2-2026-earnings-preview"/>
    <w:p>
      <w:pPr>
        <w:pStyle w:val="Heading1"/>
      </w:pPr>
      <w:r>
        <w:t xml:space="preserve">WYNN Q2 2026 Earnings Preview</w:t>
      </w:r>
    </w:p>
    <w:p>
      <w:pPr>
        <w:pStyle w:val="BlockText"/>
      </w:pPr>
      <w:r>
        <w:rPr>
          <w:b/>
          <w:bCs/>
        </w:rPr>
        <w:t xml:space="preserve">Timing correction:</w:t>
      </w:r>
      <w:r>
        <w:t xml:space="preserve"> </w:t>
      </w:r>
      <w:r>
        <w:t xml:space="preserve">Wynn Resorts is scheduled to report</w:t>
      </w:r>
      <w:r>
        <w:t xml:space="preserve"> </w:t>
      </w:r>
      <w:r>
        <w:rPr>
          <w:b/>
          <w:bCs/>
        </w:rPr>
        <w:t xml:space="preserve">after the market close today, Tuesday, August 4, 2026</w:t>
      </w:r>
      <w:r>
        <w:t xml:space="preserve">, followed by its earnings call at</w:t>
      </w:r>
      <w:r>
        <w:t xml:space="preserve"> </w:t>
      </w:r>
      <w:r>
        <w:rPr>
          <w:b/>
          <w:bCs/>
        </w:rPr>
        <w:t xml:space="preserve">4:30 p.m. ET</w:t>
      </w:r>
      <w:r>
        <w:t xml:space="preserve">. The report is not scheduled for tomorrow.</w:t>
      </w:r>
    </w:p>
    <w:bookmarkStart w:id="9" w:name="investment-view-going-into-the-print"/>
    <w:p>
      <w:pPr>
        <w:pStyle w:val="Heading2"/>
      </w:pPr>
      <w:r>
        <w:t xml:space="preserve">Investment view going into the print</w:t>
      </w:r>
    </w:p>
    <w:p>
      <w:pPr>
        <w:pStyle w:val="FirstParagraph"/>
      </w:pPr>
      <w:r>
        <w:t xml:space="preserve">The quarter itself matters, but the stock’s larger reaction will probably depend on three forward-looking questions:</w:t>
      </w:r>
    </w:p>
    <w:p>
      <w:pPr>
        <w:pStyle w:val="Compact"/>
        <w:numPr>
          <w:ilvl w:val="0"/>
          <w:numId w:val="1001"/>
        </w:numPr>
      </w:pPr>
      <w:r>
        <w:rPr>
          <w:b/>
          <w:bCs/>
        </w:rPr>
        <w:t xml:space="preserve">Can Wynn sustain premium-market momentum in Macau and Las Vegas despite difficult comparisons?</w:t>
      </w:r>
    </w:p>
    <w:p>
      <w:pPr>
        <w:pStyle w:val="Compact"/>
        <w:numPr>
          <w:ilvl w:val="0"/>
          <w:numId w:val="1001"/>
        </w:numPr>
      </w:pPr>
      <w:r>
        <w:rPr>
          <w:b/>
          <w:bCs/>
        </w:rPr>
        <w:t xml:space="preserve">How much will the company spend—and how quickly—across Wynn Al Marjan, the Wynn Palace expansion, and the Encore Las Vegas renovation?</w:t>
      </w:r>
    </w:p>
    <w:p>
      <w:pPr>
        <w:pStyle w:val="Compact"/>
        <w:numPr>
          <w:ilvl w:val="0"/>
          <w:numId w:val="1001"/>
        </w:numPr>
      </w:pPr>
      <w:r>
        <w:rPr>
          <w:b/>
          <w:bCs/>
        </w:rPr>
        <w:t xml:space="preserve">Has the expected delay at Wynn Al Marjan remained “modest,” or have regional logistics and shipping disruptions materially changed the opening date or budget?</w:t>
      </w:r>
    </w:p>
    <w:p>
      <w:pPr>
        <w:pStyle w:val="FirstParagraph"/>
      </w:pPr>
      <w:r>
        <w:t xml:space="preserve">Reported EPS may be noisy because of foreign-exchange remeasurement, derivatives, gaming hold and noncontrolling interests.</w:t>
      </w:r>
      <w:r>
        <w:t xml:space="preserve"> </w:t>
      </w:r>
      <w:r>
        <w:rPr>
          <w:b/>
          <w:bCs/>
        </w:rPr>
        <w:t xml:space="preserve">Property-level revenue, hold-adjusted EBITDAR, margins and management commentary should be more useful than headline EPS.</w:t>
      </w:r>
    </w:p>
    <w:p>
      <w:r>
        <w:pict>
          <v:rect style="width:0;height:1.5pt" o:hralign="center" o:hrstd="t" o:hr="t"/>
        </w:pict>
      </w:r>
    </w:p>
    <w:bookmarkEnd w:id="9"/>
    <w:bookmarkStart w:id="10" w:name="key-benchmarks"/>
    <w:p>
      <w:pPr>
        <w:pStyle w:val="Heading2"/>
      </w:pPr>
      <w:r>
        <w:t xml:space="preserve">Key benchmarks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2025 comparison</w:t>
            </w:r>
          </w:p>
        </w:tc>
      </w:tr>
      <w:tr>
        <w:tc>
          <w:tcPr/>
          <w:p>
            <w:pPr>
              <w:pStyle w:val="Compact"/>
            </w:pPr>
            <w:r>
              <w:t xml:space="preserve">Consolidated revenue</w:t>
            </w:r>
          </w:p>
        </w:tc>
        <w:tc>
          <w:tcPr/>
          <w:p>
            <w:pPr>
              <w:pStyle w:val="Compact"/>
              <w:jc w:val="right"/>
            </w:pPr>
            <w:r>
              <w:t xml:space="preserve">$1.857B</w:t>
            </w:r>
          </w:p>
        </w:tc>
        <w:tc>
          <w:tcPr/>
          <w:p>
            <w:pPr>
              <w:pStyle w:val="Compact"/>
              <w:jc w:val="right"/>
            </w:pPr>
            <w:r>
              <w:t xml:space="preserve">$1.738B</w:t>
            </w:r>
          </w:p>
        </w:tc>
      </w:tr>
      <w:tr>
        <w:tc>
          <w:tcPr/>
          <w:p>
            <w:pPr>
              <w:pStyle w:val="Compact"/>
            </w:pPr>
            <w:r>
              <w:t xml:space="preserve">Adjusted Property EBITDAR</w:t>
            </w:r>
          </w:p>
        </w:tc>
        <w:tc>
          <w:tcPr/>
          <w:p>
            <w:pPr>
              <w:pStyle w:val="Compact"/>
              <w:jc w:val="right"/>
            </w:pPr>
            <w:r>
              <w:t xml:space="preserve">$562.4M</w:t>
            </w:r>
          </w:p>
        </w:tc>
        <w:tc>
          <w:tcPr/>
          <w:p>
            <w:pPr>
              <w:pStyle w:val="Compact"/>
              <w:jc w:val="right"/>
            </w:pPr>
            <w:r>
              <w:t xml:space="preserve">$552.4M</w:t>
            </w:r>
          </w:p>
        </w:tc>
      </w:tr>
      <w:tr>
        <w:tc>
          <w:tcPr/>
          <w:p>
            <w:pPr>
              <w:pStyle w:val="Compact"/>
            </w:pPr>
            <w:r>
              <w:t xml:space="preserve">Macau revenue</w:t>
            </w:r>
          </w:p>
        </w:tc>
        <w:tc>
          <w:tcPr/>
          <w:p>
            <w:pPr>
              <w:pStyle w:val="Compact"/>
              <w:jc w:val="right"/>
            </w:pPr>
            <w:r>
              <w:t xml:space="preserve">$989.2M</w:t>
            </w:r>
          </w:p>
        </w:tc>
        <w:tc>
          <w:tcPr/>
          <w:p>
            <w:pPr>
              <w:pStyle w:val="Compact"/>
              <w:jc w:val="right"/>
            </w:pPr>
            <w:r>
              <w:t xml:space="preserve">$883.5M</w:t>
            </w:r>
          </w:p>
        </w:tc>
      </w:tr>
      <w:tr>
        <w:tc>
          <w:tcPr/>
          <w:p>
            <w:pPr>
              <w:pStyle w:val="Compact"/>
            </w:pPr>
            <w:r>
              <w:t xml:space="preserve">Macau Adjusted Property EBITDAR</w:t>
            </w:r>
          </w:p>
        </w:tc>
        <w:tc>
          <w:tcPr/>
          <w:p>
            <w:pPr>
              <w:pStyle w:val="Compact"/>
              <w:jc w:val="right"/>
            </w:pPr>
            <w:r>
              <w:t xml:space="preserve">$279.4M</w:t>
            </w:r>
          </w:p>
        </w:tc>
        <w:tc>
          <w:tcPr/>
          <w:p>
            <w:pPr>
              <w:pStyle w:val="Compact"/>
              <w:jc w:val="right"/>
            </w:pPr>
            <w:r>
              <w:t xml:space="preserve">$253.7M</w:t>
            </w:r>
          </w:p>
        </w:tc>
      </w:tr>
      <w:tr>
        <w:tc>
          <w:tcPr/>
          <w:p>
            <w:pPr>
              <w:pStyle w:val="Compact"/>
            </w:pPr>
            <w:r>
              <w:t xml:space="preserve">Las Vegas revenue</w:t>
            </w:r>
          </w:p>
        </w:tc>
        <w:tc>
          <w:tcPr/>
          <w:p>
            <w:pPr>
              <w:pStyle w:val="Compact"/>
              <w:jc w:val="right"/>
            </w:pPr>
            <w:r>
              <w:t xml:space="preserve">$661.9M</w:t>
            </w:r>
          </w:p>
        </w:tc>
        <w:tc>
          <w:tcPr/>
          <w:p>
            <w:pPr>
              <w:pStyle w:val="Compact"/>
              <w:jc w:val="right"/>
            </w:pPr>
            <w:r>
              <w:t xml:space="preserve">$638.6M</w:t>
            </w:r>
          </w:p>
        </w:tc>
      </w:tr>
      <w:tr>
        <w:tc>
          <w:tcPr/>
          <w:p>
            <w:pPr>
              <w:pStyle w:val="Compact"/>
            </w:pPr>
            <w:r>
              <w:t xml:space="preserve">Las Vegas Adjusted Property EBITDAR</w:t>
            </w:r>
          </w:p>
        </w:tc>
        <w:tc>
          <w:tcPr/>
          <w:p>
            <w:pPr>
              <w:pStyle w:val="Compact"/>
              <w:jc w:val="right"/>
            </w:pPr>
            <w:r>
              <w:t xml:space="preserve">$232.5M</w:t>
            </w:r>
          </w:p>
        </w:tc>
        <w:tc>
          <w:tcPr/>
          <w:p>
            <w:pPr>
              <w:pStyle w:val="Compact"/>
              <w:jc w:val="right"/>
            </w:pPr>
            <w:r>
              <w:t xml:space="preserve">$234.8M</w:t>
            </w:r>
          </w:p>
        </w:tc>
      </w:tr>
      <w:tr>
        <w:tc>
          <w:tcPr/>
          <w:p>
            <w:pPr>
              <w:pStyle w:val="Compact"/>
            </w:pPr>
            <w:r>
              <w:t xml:space="preserve">Encore Boston Harbor revenue</w:t>
            </w:r>
          </w:p>
        </w:tc>
        <w:tc>
          <w:tcPr/>
          <w:p>
            <w:pPr>
              <w:pStyle w:val="Compact"/>
              <w:jc w:val="right"/>
            </w:pPr>
            <w:r>
              <w:t xml:space="preserve">$205.7M</w:t>
            </w:r>
          </w:p>
        </w:tc>
        <w:tc>
          <w:tcPr/>
          <w:p>
            <w:pPr>
              <w:pStyle w:val="Compact"/>
              <w:jc w:val="right"/>
            </w:pPr>
            <w:r>
              <w:t xml:space="preserve">$215.7M</w:t>
            </w:r>
          </w:p>
        </w:tc>
      </w:tr>
      <w:tr>
        <w:tc>
          <w:tcPr/>
          <w:p>
            <w:pPr>
              <w:pStyle w:val="Compact"/>
            </w:pPr>
            <w:r>
              <w:t xml:space="preserve">Encore Boston Harbor Adjusted Property EBITDAR</w:t>
            </w:r>
          </w:p>
        </w:tc>
        <w:tc>
          <w:tcPr/>
          <w:p>
            <w:pPr>
              <w:pStyle w:val="Compact"/>
              <w:jc w:val="right"/>
            </w:pPr>
            <w:r>
              <w:t xml:space="preserve">$50.5M</w:t>
            </w:r>
          </w:p>
        </w:tc>
        <w:tc>
          <w:tcPr/>
          <w:p>
            <w:pPr>
              <w:pStyle w:val="Compact"/>
              <w:jc w:val="right"/>
            </w:pPr>
            <w:r>
              <w:t xml:space="preserve">$63.9M</w:t>
            </w:r>
          </w:p>
        </w:tc>
      </w:tr>
    </w:tbl>
    <w:p>
      <w:pPr>
        <w:pStyle w:val="BodyText"/>
      </w:pPr>
      <w:r>
        <w:t xml:space="preserve">Hold adjustments are important. Q1 2026 Macau EBITDAR was reduced by approximately</w:t>
      </w:r>
      <w:r>
        <w:t xml:space="preserve"> </w:t>
      </w:r>
      <m:oMath>
        <m:r>
          <m:t>17</m:t>
        </m:r>
        <m:r>
          <m:t>m</m:t>
        </m:r>
        <m:r>
          <m:t>i</m:t>
        </m:r>
        <m:r>
          <m:t>l</m:t>
        </m:r>
        <m:r>
          <m:t>l</m:t>
        </m:r>
        <m:r>
          <m:t>i</m:t>
        </m:r>
        <m:r>
          <m:t>o</m:t>
        </m:r>
        <m:r>
          <m:t>n</m:t>
        </m:r>
        <m:r>
          <m:rPr>
            <m:sty m:val="p"/>
          </m:rPr>
          <m:t>*</m:t>
        </m:r>
        <m:r>
          <m:rPr>
            <m:sty m:val="p"/>
          </m:rPr>
          <m:t>*</m:t>
        </m:r>
        <m:r>
          <m:t>f</m:t>
        </m:r>
        <m:r>
          <m:t>r</m:t>
        </m:r>
        <m:r>
          <m:t>o</m:t>
        </m:r>
        <m:r>
          <m:t>m</m:t>
        </m:r>
        <m:r>
          <m:t>u</m:t>
        </m:r>
        <m:r>
          <m:t>n</m:t>
        </m:r>
        <m:r>
          <m:t>f</m:t>
        </m:r>
        <m:r>
          <m:t>a</m:t>
        </m:r>
        <m:r>
          <m:t>v</m:t>
        </m:r>
        <m:r>
          <m:t>o</m:t>
        </m:r>
        <m:r>
          <m:t>r</m:t>
        </m:r>
        <m:r>
          <m:t>a</m:t>
        </m:r>
        <m:r>
          <m:t>b</m:t>
        </m:r>
        <m:r>
          <m:t>l</m:t>
        </m:r>
        <m:r>
          <m:t>e</m:t>
        </m:r>
        <m:r>
          <m:t>V</m:t>
        </m:r>
        <m:r>
          <m:t>I</m:t>
        </m:r>
        <m:r>
          <m:t>P</m:t>
        </m:r>
        <m:r>
          <m:t>h</m:t>
        </m:r>
        <m:r>
          <m:t>o</m:t>
        </m:r>
        <m:r>
          <m:t>l</m:t>
        </m:r>
        <m:r>
          <m:t>d</m:t>
        </m:r>
        <m:r>
          <m:rPr>
            <m:sty m:val="p"/>
          </m:rPr>
          <m:t>.</m:t>
        </m:r>
        <m:r>
          <m:t>Q</m:t>
        </m:r>
        <m:r>
          <m:t>2</m:t>
        </m:r>
        <m:r>
          <m:t>2025</m:t>
        </m:r>
        <m:r>
          <m:t>M</m:t>
        </m:r>
        <m:r>
          <m:t>a</m:t>
        </m:r>
        <m:r>
          <m:t>c</m:t>
        </m:r>
        <m:r>
          <m:t>a</m:t>
        </m:r>
        <m:r>
          <m:t>u</m:t>
        </m:r>
        <m:r>
          <m:t>w</m:t>
        </m:r>
        <m:r>
          <m:t>a</m:t>
        </m:r>
        <m:r>
          <m:t>s</m:t>
        </m:r>
        <m:r>
          <m:t>r</m:t>
        </m:r>
        <m:r>
          <m:t>e</m:t>
        </m:r>
        <m:r>
          <m:t>d</m:t>
        </m:r>
        <m:r>
          <m:t>u</m:t>
        </m:r>
        <m:r>
          <m:t>c</m:t>
        </m:r>
        <m:r>
          <m:t>e</m:t>
        </m:r>
        <m:r>
          <m:t>d</m:t>
        </m:r>
        <m:r>
          <m:t>b</m:t>
        </m:r>
        <m:r>
          <m:t>y</m:t>
        </m:r>
        <m:r>
          <m:t>n</m:t>
        </m:r>
        <m:r>
          <m:t>e</m:t>
        </m:r>
        <m:r>
          <m:t>a</m:t>
        </m:r>
        <m:r>
          <m:t>r</m:t>
        </m:r>
        <m:r>
          <m:t>l</m:t>
        </m:r>
        <m:r>
          <m:t>y</m:t>
        </m:r>
        <m:r>
          <m:rPr>
            <m:sty m:val="p"/>
          </m:rPr>
          <m:t>*</m:t>
        </m:r>
        <m:r>
          <m:rPr>
            <m:sty m:val="p"/>
          </m:rPr>
          <m:t>*</m:t>
        </m:r>
      </m:oMath>
      <w:r>
        <w:rPr>
          <w:b/>
          <w:bCs/>
        </w:rPr>
        <w:t xml:space="preserve">13 million</w:t>
      </w:r>
      <w:r>
        <w:t xml:space="preserve">, while Las Vegas Q2 2025 was reduced by approximately</w:t>
      </w:r>
      <w:r>
        <w:t xml:space="preserve"> </w:t>
      </w:r>
      <w:r>
        <w:rPr>
          <w:b/>
          <w:bCs/>
        </w:rPr>
        <w:t xml:space="preserve">$11 million</w:t>
      </w:r>
      <w:r>
        <w:t xml:space="preserve">.</w:t>
      </w:r>
    </w:p>
    <w:p>
      <w:pPr>
        <w:pStyle w:val="BodyText"/>
      </w:pPr>
      <w:r>
        <w:t xml:space="preserve">A consolidated print near the prior-year</w:t>
      </w:r>
      <w:r>
        <w:t xml:space="preserve"> </w:t>
      </w:r>
      <w:r>
        <w:rPr>
          <w:b/>
          <w:bCs/>
        </w:rPr>
        <w:t xml:space="preserve">$552 million</w:t>
      </w:r>
      <w:r>
        <w:t xml:space="preserve"> </w:t>
      </w:r>
      <w:r>
        <w:t xml:space="preserve">property-EBITDAR level would therefore need to be evaluated alongside hold. A modest reported miss accompanied by stronger normalized results could be received better than a headline beat driven primarily by luck.</w:t>
      </w:r>
    </w:p>
    <w:p>
      <w:r>
        <w:pict>
          <v:rect style="width:0;height:1.5pt" o:hralign="center" o:hrstd="t" o:hr="t"/>
        </w:pict>
      </w:r>
    </w:p>
    <w:bookmarkEnd w:id="10"/>
    <w:bookmarkStart w:id="14" w:name="X8c4c6a848e3d79ddbd7fdb82b82d3c42e5765c3"/>
    <w:p>
      <w:pPr>
        <w:pStyle w:val="Heading2"/>
      </w:pPr>
      <w:r>
        <w:t xml:space="preserve">1. Macau is the most important operating swing factor</w:t>
      </w:r>
    </w:p>
    <w:p>
      <w:pPr>
        <w:pStyle w:val="FirstParagraph"/>
      </w:pPr>
      <w:r>
        <w:t xml:space="preserve">Macau entered Q2 with substantial momentum. In Q1:</w:t>
      </w:r>
    </w:p>
    <w:p>
      <w:pPr>
        <w:pStyle w:val="Compact"/>
        <w:numPr>
          <w:ilvl w:val="0"/>
          <w:numId w:val="1002"/>
        </w:numPr>
      </w:pPr>
      <w:r>
        <w:t xml:space="preserve">Combined Macau mass-market table drop increased</w:t>
      </w:r>
      <w:r>
        <w:t xml:space="preserve"> </w:t>
      </w:r>
      <w:r>
        <w:rPr>
          <w:b/>
          <w:bCs/>
        </w:rPr>
        <w:t xml:space="preserve">19%</w:t>
      </w:r>
      <w:r>
        <w:t xml:space="preserve"> </w:t>
      </w:r>
      <w:r>
        <w:t xml:space="preserve">year over year.</w:t>
      </w:r>
    </w:p>
    <w:p>
      <w:pPr>
        <w:pStyle w:val="Compact"/>
        <w:numPr>
          <w:ilvl w:val="0"/>
          <w:numId w:val="1002"/>
        </w:numPr>
      </w:pPr>
      <w:r>
        <w:t xml:space="preserve">Slot handle increased</w:t>
      </w:r>
      <w:r>
        <w:t xml:space="preserve"> </w:t>
      </w:r>
      <w:r>
        <w:rPr>
          <w:b/>
          <w:bCs/>
        </w:rPr>
        <w:t xml:space="preserve">32%</w:t>
      </w:r>
      <w:r>
        <w:t xml:space="preserve">.</w:t>
      </w:r>
    </w:p>
    <w:p>
      <w:pPr>
        <w:pStyle w:val="Compact"/>
        <w:numPr>
          <w:ilvl w:val="0"/>
          <w:numId w:val="1002"/>
        </w:numPr>
      </w:pPr>
      <w:r>
        <w:t xml:space="preserve">Wynn Palace was effectively full, with</w:t>
      </w:r>
      <w:r>
        <w:t xml:space="preserve"> </w:t>
      </w:r>
      <w:r>
        <w:rPr>
          <w:b/>
          <w:bCs/>
        </w:rPr>
        <w:t xml:space="preserve">99.1% occupancy</w:t>
      </w:r>
      <w:r>
        <w:t xml:space="preserve">.</w:t>
      </w:r>
    </w:p>
    <w:p>
      <w:pPr>
        <w:pStyle w:val="Compact"/>
        <w:numPr>
          <w:ilvl w:val="0"/>
          <w:numId w:val="1002"/>
        </w:numPr>
      </w:pPr>
      <w:r>
        <w:t xml:space="preserve">Reported Macau property EBITDAR was $279.4 million, or approximately $296 million after adding back unfavorable VIP hold.</w:t>
      </w:r>
    </w:p>
    <w:p>
      <w:pPr>
        <w:pStyle w:val="FirstParagraph"/>
      </w:pPr>
      <w:r>
        <w:t xml:space="preserve">Management said mass drop remained ahead of the prior year entering Q2, and the expanded Chairman’s Club was receiving a favorable early response.</w:t>
      </w:r>
    </w:p>
    <w:bookmarkStart w:id="11" w:name="what-complicates-the-quarter"/>
    <w:p>
      <w:pPr>
        <w:pStyle w:val="Heading3"/>
      </w:pPr>
      <w:r>
        <w:t xml:space="preserve">What complicates the quarter</w:t>
      </w:r>
    </w:p>
    <w:p>
      <w:pPr>
        <w:pStyle w:val="FirstParagraph"/>
      </w:pPr>
      <w:r>
        <w:t xml:space="preserve">Industry commentary suggests April and May were healthy, but the soccer World Cup diverted some high-value customers in June. Las Vegas Sands and MGM both identified a June slowdown in Macau associated with the tournament. MGM subsequently reported a strong July recovery, with market and company volumes returning toward or above Q1 levels.</w:t>
      </w:r>
    </w:p>
    <w:p>
      <w:pPr>
        <w:pStyle w:val="BodyText"/>
      </w:pPr>
      <w:r>
        <w:t xml:space="preserve">That creates two separate questions for Wynn:</w:t>
      </w:r>
    </w:p>
    <w:p>
      <w:pPr>
        <w:pStyle w:val="Compact"/>
        <w:numPr>
          <w:ilvl w:val="0"/>
          <w:numId w:val="1003"/>
        </w:numPr>
      </w:pPr>
      <w:r>
        <w:rPr>
          <w:b/>
          <w:bCs/>
        </w:rPr>
        <w:t xml:space="preserve">How strong were underlying Q2 volumes before hold and June’s temporary softness?</w:t>
      </w:r>
    </w:p>
    <w:p>
      <w:pPr>
        <w:pStyle w:val="Compact"/>
        <w:numPr>
          <w:ilvl w:val="0"/>
          <w:numId w:val="1003"/>
        </w:numPr>
      </w:pPr>
      <w:r>
        <w:rPr>
          <w:b/>
          <w:bCs/>
        </w:rPr>
        <w:t xml:space="preserve">Did Wynn participate in the July rebound?</w:t>
      </w:r>
    </w:p>
    <w:p>
      <w:pPr>
        <w:pStyle w:val="FirstParagraph"/>
      </w:pPr>
      <w:r>
        <w:t xml:space="preserve">A soft June should be relatively forgivable if management reports strong April-May trends and a convincing July recovery.</w:t>
      </w:r>
    </w:p>
    <w:bookmarkEnd w:id="11"/>
    <w:bookmarkStart w:id="12" w:name="metrics-to-watch"/>
    <w:p>
      <w:pPr>
        <w:pStyle w:val="Heading3"/>
      </w:pPr>
      <w:r>
        <w:t xml:space="preserve">Metrics to watch</w:t>
      </w:r>
    </w:p>
    <w:p>
      <w:pPr>
        <w:pStyle w:val="Compact"/>
        <w:numPr>
          <w:ilvl w:val="0"/>
          <w:numId w:val="1004"/>
        </w:numPr>
      </w:pPr>
      <w:r>
        <w:t xml:space="preserve">Mass-market table drop at Wynn Palace and Wynn Macau.</w:t>
      </w:r>
    </w:p>
    <w:p>
      <w:pPr>
        <w:pStyle w:val="Compact"/>
        <w:numPr>
          <w:ilvl w:val="0"/>
          <w:numId w:val="1004"/>
        </w:numPr>
      </w:pPr>
      <w:r>
        <w:t xml:space="preserve">Slot handle and premium-mass market share.</w:t>
      </w:r>
    </w:p>
    <w:p>
      <w:pPr>
        <w:pStyle w:val="Compact"/>
        <w:numPr>
          <w:ilvl w:val="0"/>
          <w:numId w:val="1004"/>
        </w:numPr>
      </w:pPr>
      <w:r>
        <w:t xml:space="preserve">VIP turnover and hold percentage.</w:t>
      </w:r>
    </w:p>
    <w:p>
      <w:pPr>
        <w:pStyle w:val="Compact"/>
        <w:numPr>
          <w:ilvl w:val="0"/>
          <w:numId w:val="1004"/>
        </w:numPr>
      </w:pPr>
      <w:r>
        <w:t xml:space="preserve">Hold-adjusted Macau EBITDAR.</w:t>
      </w:r>
    </w:p>
    <w:p>
      <w:pPr>
        <w:pStyle w:val="Compact"/>
        <w:numPr>
          <w:ilvl w:val="0"/>
          <w:numId w:val="1004"/>
        </w:numPr>
      </w:pPr>
      <w:r>
        <w:t xml:space="preserve">Macau operating expenses, which were approximately</w:t>
      </w:r>
      <w:r>
        <w:t xml:space="preserve"> </w:t>
      </w:r>
      <w:r>
        <w:rPr>
          <w:b/>
          <w:bCs/>
        </w:rPr>
        <w:t xml:space="preserve">$2.9 million per day</w:t>
      </w:r>
      <w:r>
        <w:t xml:space="preserve"> </w:t>
      </w:r>
      <w:r>
        <w:t xml:space="preserve">in Q1, up 9.9%.</w:t>
      </w:r>
    </w:p>
    <w:p>
      <w:pPr>
        <w:pStyle w:val="Compact"/>
        <w:numPr>
          <w:ilvl w:val="0"/>
          <w:numId w:val="1004"/>
        </w:numPr>
      </w:pPr>
      <w:r>
        <w:t xml:space="preserve">Promotional and customer-reinvestment intensity.</w:t>
      </w:r>
    </w:p>
    <w:p>
      <w:pPr>
        <w:pStyle w:val="FirstParagraph"/>
      </w:pPr>
      <w:r>
        <w:t xml:space="preserve">Macau’s growth remains disproportionately premium-led, and competition for those customers is intense. Wynn has historically emphasized reinvestment discipline. Investors will want confirmation that its strong volume growth has not required a material deterioration in margins.</w:t>
      </w:r>
    </w:p>
    <w:bookmarkEnd w:id="12"/>
    <w:bookmarkStart w:id="13" w:name="a-constructive-macau-outcome"/>
    <w:p>
      <w:pPr>
        <w:pStyle w:val="Heading3"/>
      </w:pPr>
      <w:r>
        <w:t xml:space="preserve">A constructive Macau outcome</w:t>
      </w:r>
    </w:p>
    <w:p>
      <w:pPr>
        <w:pStyle w:val="FirstParagraph"/>
      </w:pPr>
      <w:r>
        <w:t xml:space="preserve">A favorable read would include:</w:t>
      </w:r>
    </w:p>
    <w:p>
      <w:pPr>
        <w:pStyle w:val="Compact"/>
        <w:numPr>
          <w:ilvl w:val="0"/>
          <w:numId w:val="1005"/>
        </w:numPr>
      </w:pPr>
      <w:r>
        <w:t xml:space="preserve">Continued double-digit growth in mass drop or slot handle.</w:t>
      </w:r>
    </w:p>
    <w:p>
      <w:pPr>
        <w:pStyle w:val="Compact"/>
        <w:numPr>
          <w:ilvl w:val="0"/>
          <w:numId w:val="1005"/>
        </w:numPr>
      </w:pPr>
      <w:r>
        <w:t xml:space="preserve">Normalized EBITDAR at least around Q1’s level despite World Cup disruption.</w:t>
      </w:r>
    </w:p>
    <w:p>
      <w:pPr>
        <w:pStyle w:val="Compact"/>
        <w:numPr>
          <w:ilvl w:val="0"/>
          <w:numId w:val="1005"/>
        </w:numPr>
      </w:pPr>
      <w:r>
        <w:t xml:space="preserve">A Macau EBITDAR margin near or above the high-20% range.</w:t>
      </w:r>
    </w:p>
    <w:p>
      <w:pPr>
        <w:pStyle w:val="Compact"/>
        <w:numPr>
          <w:ilvl w:val="0"/>
          <w:numId w:val="1005"/>
        </w:numPr>
      </w:pPr>
      <w:r>
        <w:t xml:space="preserve">July volumes clearly recovering from June.</w:t>
      </w:r>
    </w:p>
    <w:p>
      <w:pPr>
        <w:pStyle w:val="Compact"/>
        <w:numPr>
          <w:ilvl w:val="0"/>
          <w:numId w:val="1005"/>
        </w:numPr>
      </w:pPr>
      <w:r>
        <w:t xml:space="preserve">Stable promotional intensity.</w:t>
      </w:r>
    </w:p>
    <w:p>
      <w:r>
        <w:pict>
          <v:rect style="width:0;height:1.5pt" o:hralign="center" o:hrstd="t" o:hr="t"/>
        </w:pict>
      </w:r>
    </w:p>
    <w:bookmarkEnd w:id="13"/>
    <w:bookmarkEnd w:id="14"/>
    <w:bookmarkStart w:id="19" w:name="Xbd928e8839721d038b0296a2f5f33d4bc187570"/>
    <w:p>
      <w:pPr>
        <w:pStyle w:val="Heading2"/>
      </w:pPr>
      <w:r>
        <w:t xml:space="preserve">2. Las Vegas should demonstrate resilience, not necessarily explosive growth</w:t>
      </w:r>
    </w:p>
    <w:p>
      <w:pPr>
        <w:pStyle w:val="FirstParagraph"/>
      </w:pPr>
      <w:r>
        <w:t xml:space="preserve">Wynn Las Vegas entered Q2 from a position of strength:</w:t>
      </w:r>
    </w:p>
    <w:p>
      <w:pPr>
        <w:pStyle w:val="Compact"/>
        <w:numPr>
          <w:ilvl w:val="0"/>
          <w:numId w:val="1006"/>
        </w:numPr>
      </w:pPr>
      <w:r>
        <w:t xml:space="preserve">Q1 revenue increased 5.9% year over year.</w:t>
      </w:r>
    </w:p>
    <w:p>
      <w:pPr>
        <w:pStyle w:val="Compact"/>
        <w:numPr>
          <w:ilvl w:val="0"/>
          <w:numId w:val="1006"/>
        </w:numPr>
      </w:pPr>
      <w:r>
        <w:t xml:space="preserve">Casino revenue increased 10.7%.</w:t>
      </w:r>
    </w:p>
    <w:p>
      <w:pPr>
        <w:pStyle w:val="Compact"/>
        <w:numPr>
          <w:ilvl w:val="0"/>
          <w:numId w:val="1006"/>
        </w:numPr>
      </w:pPr>
      <w:r>
        <w:t xml:space="preserve">Table drop increased 15.7%.</w:t>
      </w:r>
    </w:p>
    <w:p>
      <w:pPr>
        <w:pStyle w:val="Compact"/>
        <w:numPr>
          <w:ilvl w:val="0"/>
          <w:numId w:val="1006"/>
        </w:numPr>
      </w:pPr>
      <w:r>
        <w:t xml:space="preserve">ADR rose 12.3% to $592.</w:t>
      </w:r>
    </w:p>
    <w:p>
      <w:pPr>
        <w:pStyle w:val="Compact"/>
        <w:numPr>
          <w:ilvl w:val="0"/>
          <w:numId w:val="1006"/>
        </w:numPr>
      </w:pPr>
      <w:r>
        <w:t xml:space="preserve">RevPAR increased 9.8%.</w:t>
      </w:r>
    </w:p>
    <w:p>
      <w:pPr>
        <w:pStyle w:val="Compact"/>
        <w:numPr>
          <w:ilvl w:val="0"/>
          <w:numId w:val="1006"/>
        </w:numPr>
      </w:pPr>
      <w:r>
        <w:t xml:space="preserve">Property EBITDAR increased 4.1% to $232.5 million.</w:t>
      </w:r>
    </w:p>
    <w:p>
      <w:pPr>
        <w:pStyle w:val="FirstParagraph"/>
      </w:pPr>
      <w:r>
        <w:t xml:space="preserve">Management also said Q2 began with drop, handle and April ADR ahead of the prior year.</w:t>
      </w:r>
    </w:p>
    <w:p>
      <w:pPr>
        <w:pStyle w:val="BodyText"/>
      </w:pPr>
      <w:r>
        <w:t xml:space="preserve">Peer commentary remains supportive of Wynn’s customer base. MGM reported continued strength in luxury, group and convention demand, even while lower-end Las Vegas leisure remained more challenged. That distinction is important: Wynn is more exposed to affluent gaming, luxury retail, premium hotel demand and group compression than to the value-oriented customer.</w:t>
      </w:r>
    </w:p>
    <w:bookmarkStart w:id="15" w:name="difficult-comparison"/>
    <w:p>
      <w:pPr>
        <w:pStyle w:val="Heading3"/>
      </w:pPr>
      <w:r>
        <w:t xml:space="preserve">Difficult comparison</w:t>
      </w:r>
    </w:p>
    <w:p>
      <w:pPr>
        <w:pStyle w:val="FirstParagraph"/>
      </w:pPr>
      <w:r>
        <w:t xml:space="preserve">Q2 2025 was already very strong:</w:t>
      </w:r>
    </w:p>
    <w:p>
      <w:pPr>
        <w:pStyle w:val="Compact"/>
        <w:numPr>
          <w:ilvl w:val="0"/>
          <w:numId w:val="1007"/>
        </w:numPr>
      </w:pPr>
      <w:r>
        <w:t xml:space="preserve">Revenue: $638.6 million.</w:t>
      </w:r>
    </w:p>
    <w:p>
      <w:pPr>
        <w:pStyle w:val="Compact"/>
        <w:numPr>
          <w:ilvl w:val="0"/>
          <w:numId w:val="1007"/>
        </w:numPr>
      </w:pPr>
      <w:r>
        <w:t xml:space="preserve">Property EBITDAR: $234.8 million.</w:t>
      </w:r>
    </w:p>
    <w:p>
      <w:pPr>
        <w:pStyle w:val="Compact"/>
        <w:numPr>
          <w:ilvl w:val="0"/>
          <w:numId w:val="1007"/>
        </w:numPr>
      </w:pPr>
      <w:r>
        <w:t xml:space="preserve">Reported margin: 36.8%.</w:t>
      </w:r>
    </w:p>
    <w:p>
      <w:pPr>
        <w:pStyle w:val="Compact"/>
        <w:numPr>
          <w:ilvl w:val="0"/>
          <w:numId w:val="1007"/>
        </w:numPr>
      </w:pPr>
      <w:r>
        <w:t xml:space="preserve">Hold-adjusted EBITDAR: approximately $246 million.</w:t>
      </w:r>
    </w:p>
    <w:p>
      <w:pPr>
        <w:pStyle w:val="FirstParagraph"/>
      </w:pPr>
      <w:r>
        <w:t xml:space="preserve">Wynn therefore does not have the easy comparison available to some Las Vegas operators. Flat-to-modest EBITDAR growth could still represent a solid operating result.</w:t>
      </w:r>
    </w:p>
    <w:bookmarkEnd w:id="15"/>
    <w:bookmarkStart w:id="16" w:name="encore-tower-renovation"/>
    <w:p>
      <w:pPr>
        <w:pStyle w:val="Heading3"/>
      </w:pPr>
      <w:r>
        <w:t xml:space="preserve">Encore Tower renovation</w:t>
      </w:r>
    </w:p>
    <w:p>
      <w:pPr>
        <w:pStyle w:val="FirstParagraph"/>
      </w:pPr>
      <w:r>
        <w:t xml:space="preserve">The Encore room remodel began during Q2. Management previously indicated:</w:t>
      </w:r>
    </w:p>
    <w:p>
      <w:pPr>
        <w:pStyle w:val="Compact"/>
        <w:numPr>
          <w:ilvl w:val="0"/>
          <w:numId w:val="1008"/>
        </w:numPr>
      </w:pPr>
      <w:r>
        <w:t xml:space="preserve">Six floors would be out of inventory.</w:t>
      </w:r>
    </w:p>
    <w:p>
      <w:pPr>
        <w:pStyle w:val="Compact"/>
        <w:numPr>
          <w:ilvl w:val="0"/>
          <w:numId w:val="1008"/>
        </w:numPr>
      </w:pPr>
      <w:r>
        <w:t xml:space="preserve">The project would run for approximately 12 months.</w:t>
      </w:r>
    </w:p>
    <w:p>
      <w:pPr>
        <w:pStyle w:val="Compact"/>
        <w:numPr>
          <w:ilvl w:val="0"/>
          <w:numId w:val="1008"/>
        </w:numPr>
      </w:pPr>
      <w:r>
        <w:t xml:space="preserve">Rates were holding at the start of construction.</w:t>
      </w:r>
    </w:p>
    <w:p>
      <w:pPr>
        <w:pStyle w:val="Compact"/>
        <w:numPr>
          <w:ilvl w:val="0"/>
          <w:numId w:val="1008"/>
        </w:numPr>
      </w:pPr>
      <w:r>
        <w:t xml:space="preserve">Renovation work would be managed around peak occupancy periods.</w:t>
      </w:r>
    </w:p>
    <w:p>
      <w:pPr>
        <w:pStyle w:val="FirstParagraph"/>
      </w:pPr>
      <w:r>
        <w:t xml:space="preserve">The investor question is whether fewer available rooms are being offset by higher rates and better mix—or whether the renovation is creating more disruption than expected.</w:t>
      </w:r>
    </w:p>
    <w:bookmarkEnd w:id="16"/>
    <w:bookmarkStart w:id="17" w:name="costs-deserve-attention"/>
    <w:p>
      <w:pPr>
        <w:pStyle w:val="Heading3"/>
      </w:pPr>
      <w:r>
        <w:t xml:space="preserve">Costs deserve attention</w:t>
      </w:r>
    </w:p>
    <w:p>
      <w:pPr>
        <w:pStyle w:val="FirstParagraph"/>
      </w:pPr>
      <w:r>
        <w:t xml:space="preserve">Q1 Las Vegas operating expense excluding gaming tax was approximately</w:t>
      </w:r>
      <w:r>
        <w:t xml:space="preserve"> </w:t>
      </w:r>
      <w:r>
        <w:rPr>
          <w:b/>
          <w:bCs/>
        </w:rPr>
        <w:t xml:space="preserve">$4.55 million per day</w:t>
      </w:r>
      <w:r>
        <w:t xml:space="preserve">, up 6.8%, driven by:</w:t>
      </w:r>
    </w:p>
    <w:p>
      <w:pPr>
        <w:pStyle w:val="Compact"/>
        <w:numPr>
          <w:ilvl w:val="0"/>
          <w:numId w:val="1009"/>
        </w:numPr>
      </w:pPr>
      <w:r>
        <w:t xml:space="preserve">Contractual wage increases.</w:t>
      </w:r>
    </w:p>
    <w:p>
      <w:pPr>
        <w:pStyle w:val="Compact"/>
        <w:numPr>
          <w:ilvl w:val="0"/>
          <w:numId w:val="1009"/>
        </w:numPr>
      </w:pPr>
      <w:r>
        <w:t xml:space="preserve">Higher business volumes.</w:t>
      </w:r>
    </w:p>
    <w:p>
      <w:pPr>
        <w:pStyle w:val="Compact"/>
        <w:numPr>
          <w:ilvl w:val="0"/>
          <w:numId w:val="1009"/>
        </w:numPr>
      </w:pPr>
      <w:r>
        <w:t xml:space="preserve">New staffing for Zero Bond and Sartiano’s.</w:t>
      </w:r>
    </w:p>
    <w:p>
      <w:pPr>
        <w:pStyle w:val="Compact"/>
        <w:numPr>
          <w:ilvl w:val="0"/>
          <w:numId w:val="1009"/>
        </w:numPr>
      </w:pPr>
      <w:r>
        <w:t xml:space="preserve">Food and beverage cost pressure.</w:t>
      </w:r>
    </w:p>
    <w:p>
      <w:pPr>
        <w:pStyle w:val="FirstParagraph"/>
      </w:pPr>
      <w:r>
        <w:t xml:space="preserve">Investors should distinguish between productive spending supporting revenue growth and expense growth that is beginning to compress margins.</w:t>
      </w:r>
    </w:p>
    <w:bookmarkEnd w:id="17"/>
    <w:bookmarkStart w:id="18" w:name="a-constructive-las-vegas-outcome"/>
    <w:p>
      <w:pPr>
        <w:pStyle w:val="Heading3"/>
      </w:pPr>
      <w:r>
        <w:t xml:space="preserve">A constructive Las Vegas outcome</w:t>
      </w:r>
    </w:p>
    <w:p>
      <w:pPr>
        <w:pStyle w:val="Compact"/>
        <w:numPr>
          <w:ilvl w:val="0"/>
          <w:numId w:val="1010"/>
        </w:numPr>
      </w:pPr>
      <w:r>
        <w:t xml:space="preserve">Continued growth in gaming volumes and market share.</w:t>
      </w:r>
    </w:p>
    <w:p>
      <w:pPr>
        <w:pStyle w:val="Compact"/>
        <w:numPr>
          <w:ilvl w:val="0"/>
          <w:numId w:val="1010"/>
        </w:numPr>
      </w:pPr>
      <w:r>
        <w:t xml:space="preserve">ADR holding despite the renovation.</w:t>
      </w:r>
    </w:p>
    <w:p>
      <w:pPr>
        <w:pStyle w:val="Compact"/>
        <w:numPr>
          <w:ilvl w:val="0"/>
          <w:numId w:val="1010"/>
        </w:numPr>
      </w:pPr>
      <w:r>
        <w:t xml:space="preserve">Property EBITDAR around or above the Q2 2025 reported result.</w:t>
      </w:r>
    </w:p>
    <w:p>
      <w:pPr>
        <w:pStyle w:val="Compact"/>
        <w:numPr>
          <w:ilvl w:val="0"/>
          <w:numId w:val="1010"/>
        </w:numPr>
      </w:pPr>
      <w:r>
        <w:t xml:space="preserve">Limited renovation disruption.</w:t>
      </w:r>
    </w:p>
    <w:p>
      <w:pPr>
        <w:pStyle w:val="Compact"/>
        <w:numPr>
          <w:ilvl w:val="0"/>
          <w:numId w:val="1010"/>
        </w:numPr>
      </w:pPr>
      <w:r>
        <w:t xml:space="preserve">Strong group pace for the second half and 2027.</w:t>
      </w:r>
    </w:p>
    <w:p>
      <w:pPr>
        <w:pStyle w:val="Compact"/>
        <w:numPr>
          <w:ilvl w:val="0"/>
          <w:numId w:val="1010"/>
        </w:numPr>
      </w:pPr>
      <w:r>
        <w:t xml:space="preserve">Evidence that Zero Bond, Sartiano’s and other new venues are becoming incremental profit contributors.</w:t>
      </w:r>
    </w:p>
    <w:p>
      <w:r>
        <w:pict>
          <v:rect style="width:0;height:1.5pt" o:hralign="center" o:hrstd="t" o:hr="t"/>
        </w:pict>
      </w:r>
    </w:p>
    <w:bookmarkEnd w:id="18"/>
    <w:bookmarkEnd w:id="19"/>
    <w:bookmarkStart w:id="21" w:name="X4b1c153b38d75012692ff669bda20aa3bf9c470"/>
    <w:p>
      <w:pPr>
        <w:pStyle w:val="Heading2"/>
      </w:pPr>
      <w:r>
        <w:t xml:space="preserve">3. Wynn Al Marjan is probably the largest stock-specific catalyst</w:t>
      </w:r>
    </w:p>
    <w:p>
      <w:pPr>
        <w:pStyle w:val="FirstParagraph"/>
      </w:pPr>
      <w:r>
        <w:t xml:space="preserve">In Q1, management said construction continued with more than 22,000 workers on site, but regional conflict had created shipping and logistics issues. Wynn expected a</w:t>
      </w:r>
      <w:r>
        <w:t xml:space="preserve"> </w:t>
      </w:r>
      <w:r>
        <w:rPr>
          <w:b/>
          <w:bCs/>
        </w:rPr>
        <w:t xml:space="preserve">“modest delay”</w:t>
      </w:r>
      <w:r>
        <w:t xml:space="preserve"> </w:t>
      </w:r>
      <w:r>
        <w:t xml:space="preserve">and still anticipated opening during 2027, while declining to quantify the delay until visibility improved.</w:t>
      </w:r>
    </w:p>
    <w:p>
      <w:pPr>
        <w:pStyle w:val="BodyText"/>
      </w:pPr>
      <w:r>
        <w:t xml:space="preserve">At March 31:</w:t>
      </w:r>
    </w:p>
    <w:p>
      <w:pPr>
        <w:pStyle w:val="Compact"/>
        <w:numPr>
          <w:ilvl w:val="0"/>
          <w:numId w:val="1011"/>
        </w:numPr>
      </w:pPr>
      <w:r>
        <w:t xml:space="preserve">Wynn’s cumulative equity contribution was approximately</w:t>
      </w:r>
      <w:r>
        <w:t xml:space="preserve"> </w:t>
      </w:r>
      <w:r>
        <w:rPr>
          <w:b/>
          <w:bCs/>
        </w:rPr>
        <w:t xml:space="preserve">$1.01 billion</w:t>
      </w:r>
      <w:r>
        <w:t xml:space="preserve">.</w:t>
      </w:r>
    </w:p>
    <w:p>
      <w:pPr>
        <w:pStyle w:val="Compact"/>
        <w:numPr>
          <w:ilvl w:val="0"/>
          <w:numId w:val="1011"/>
        </w:numPr>
      </w:pPr>
      <w:r>
        <w:t xml:space="preserve">Approximately</w:t>
      </w:r>
      <w:r>
        <w:t xml:space="preserve"> </w:t>
      </w:r>
      <w:r>
        <w:rPr>
          <w:b/>
          <w:bCs/>
        </w:rPr>
        <w:t xml:space="preserve">$962 million</w:t>
      </w:r>
      <w:r>
        <w:t xml:space="preserve"> </w:t>
      </w:r>
      <w:r>
        <w:t xml:space="preserve">had been drawn under the construction loan.</w:t>
      </w:r>
    </w:p>
    <w:p>
      <w:pPr>
        <w:pStyle w:val="Compact"/>
        <w:numPr>
          <w:ilvl w:val="0"/>
          <w:numId w:val="1011"/>
        </w:numPr>
      </w:pPr>
      <w:r>
        <w:t xml:space="preserve">Wynn estimated its remaining equity requirement, including the Janu project, at</w:t>
      </w:r>
      <w:r>
        <w:t xml:space="preserve"> </w:t>
      </w:r>
      <m:oMath>
        <m:r>
          <m:t>350</m:t>
        </m:r>
        <m:r>
          <m:t>m</m:t>
        </m:r>
        <m:r>
          <m:t>i</m:t>
        </m:r>
        <m:r>
          <m:t>l</m:t>
        </m:r>
        <m:r>
          <m:t>l</m:t>
        </m:r>
        <m:r>
          <m:t>i</m:t>
        </m:r>
        <m:r>
          <m:t>o</m:t>
        </m:r>
        <m:r>
          <m:t>n</m:t>
        </m:r>
        <m:r>
          <m:rPr>
            <m:sty m:val="p"/>
          </m:rPr>
          <m:t>−</m:t>
        </m:r>
      </m:oMath>
      <w:r>
        <w:rPr>
          <w:b/>
          <w:bCs/>
        </w:rPr>
        <w:t xml:space="preserve">450 million</w:t>
      </w:r>
      <w:r>
        <w:t xml:space="preserve">.</w:t>
      </w:r>
    </w:p>
    <w:p>
      <w:pPr>
        <w:pStyle w:val="FirstParagraph"/>
      </w:pPr>
      <w:r>
        <w:t xml:space="preserve">Management also acknowledged:</w:t>
      </w:r>
    </w:p>
    <w:p>
      <w:pPr>
        <w:pStyle w:val="Compact"/>
        <w:numPr>
          <w:ilvl w:val="0"/>
          <w:numId w:val="1012"/>
        </w:numPr>
      </w:pPr>
      <w:r>
        <w:t xml:space="preserve">Higher shipping costs.</w:t>
      </w:r>
    </w:p>
    <w:p>
      <w:pPr>
        <w:pStyle w:val="Compact"/>
        <w:numPr>
          <w:ilvl w:val="0"/>
          <w:numId w:val="1012"/>
        </w:numPr>
      </w:pPr>
      <w:r>
        <w:t xml:space="preserve">A longer period of pre-opening payroll.</w:t>
      </w:r>
    </w:p>
    <w:p>
      <w:pPr>
        <w:pStyle w:val="Compact"/>
        <w:numPr>
          <w:ilvl w:val="0"/>
          <w:numId w:val="1012"/>
        </w:numPr>
      </w:pPr>
      <w:r>
        <w:t xml:space="preserve">Potential changes to the timing of mass hiring.</w:t>
      </w:r>
    </w:p>
    <w:p>
      <w:pPr>
        <w:pStyle w:val="Compact"/>
        <w:numPr>
          <w:ilvl w:val="0"/>
          <w:numId w:val="1012"/>
        </w:numPr>
      </w:pPr>
      <w:r>
        <w:t xml:space="preserve">Continued geopolitical and tourism uncertainty in the region.</w:t>
      </w:r>
    </w:p>
    <w:bookmarkStart w:id="20" w:name="what-investors-need-tonight"/>
    <w:p>
      <w:pPr>
        <w:pStyle w:val="Heading3"/>
      </w:pPr>
      <w:r>
        <w:t xml:space="preserve">What investors need tonight</w:t>
      </w:r>
    </w:p>
    <w:p>
      <w:pPr>
        <w:pStyle w:val="FirstParagraph"/>
      </w:pPr>
      <w:r>
        <w:t xml:space="preserve">The best outcome would be a firm opening window within 2027, a quantified but limited delay, and no material change in remaining equity needs.</w:t>
      </w:r>
    </w:p>
    <w:p>
      <w:pPr>
        <w:pStyle w:val="BodyText"/>
      </w:pPr>
      <w:r>
        <w:t xml:space="preserve">The market could react negatively if management:</w:t>
      </w:r>
    </w:p>
    <w:p>
      <w:pPr>
        <w:pStyle w:val="Compact"/>
        <w:numPr>
          <w:ilvl w:val="0"/>
          <w:numId w:val="1013"/>
        </w:numPr>
      </w:pPr>
      <w:r>
        <w:t xml:space="preserve">Pushes the opening into 2028.</w:t>
      </w:r>
    </w:p>
    <w:p>
      <w:pPr>
        <w:pStyle w:val="Compact"/>
        <w:numPr>
          <w:ilvl w:val="0"/>
          <w:numId w:val="1013"/>
        </w:numPr>
      </w:pPr>
      <w:r>
        <w:t xml:space="preserve">Significantly increases the project budget or remaining equity contribution.</w:t>
      </w:r>
    </w:p>
    <w:p>
      <w:pPr>
        <w:pStyle w:val="Compact"/>
        <w:numPr>
          <w:ilvl w:val="0"/>
          <w:numId w:val="1013"/>
        </w:numPr>
      </w:pPr>
      <w:r>
        <w:t xml:space="preserve">Reports broader construction or procurement disruption.</w:t>
      </w:r>
    </w:p>
    <w:p>
      <w:pPr>
        <w:pStyle w:val="Compact"/>
        <w:numPr>
          <w:ilvl w:val="0"/>
          <w:numId w:val="1013"/>
        </w:numPr>
      </w:pPr>
      <w:r>
        <w:t xml:space="preserve">Reduces its previously communicated earnings expectations for the resort.</w:t>
      </w:r>
    </w:p>
    <w:p>
      <w:pPr>
        <w:pStyle w:val="FirstParagraph"/>
      </w:pPr>
      <w:r>
        <w:t xml:space="preserve">Conversely, continued construction progress and an unchanged long-term thesis could reduce one of the largest current overhangs on the stock.</w:t>
      </w:r>
    </w:p>
    <w:p>
      <w:r>
        <w:pict>
          <v:rect style="width:0;height:1.5pt" o:hralign="center" o:hrstd="t" o:hr="t"/>
        </w:pict>
      </w:r>
    </w:p>
    <w:bookmarkEnd w:id="20"/>
    <w:bookmarkEnd w:id="21"/>
    <w:bookmarkStart w:id="23" w:name="Xde1be76b15eb95df9e4840f8f3faf85efb7340a"/>
    <w:p>
      <w:pPr>
        <w:pStyle w:val="Heading2"/>
      </w:pPr>
      <w:r>
        <w:t xml:space="preserve">4. Macau expansion raises the quality of growth—but also the capital burden</w:t>
      </w:r>
    </w:p>
    <w:p>
      <w:pPr>
        <w:pStyle w:val="FirstParagraph"/>
      </w:pPr>
      <w:r>
        <w:t xml:space="preserve">Wynn recently advanced plans for</w:t>
      </w:r>
      <w:r>
        <w:t xml:space="preserve"> </w:t>
      </w:r>
      <w:r>
        <w:rPr>
          <w:b/>
          <w:bCs/>
        </w:rPr>
        <w:t xml:space="preserve">The Enclave at Wynn Palace</w:t>
      </w:r>
      <w:r>
        <w:t xml:space="preserve">, a 432-suite hotel addition expected to cost approximately</w:t>
      </w:r>
      <w:r>
        <w:t xml:space="preserve"> </w:t>
      </w:r>
      <m:oMath>
        <m:r>
          <m:t>900</m:t>
        </m:r>
        <m:r>
          <m:t>m</m:t>
        </m:r>
        <m:r>
          <m:t>i</m:t>
        </m:r>
        <m:r>
          <m:t>l</m:t>
        </m:r>
        <m:r>
          <m:t>l</m:t>
        </m:r>
        <m:r>
          <m:t>i</m:t>
        </m:r>
        <m:r>
          <m:t>o</m:t>
        </m:r>
        <m:r>
          <m:t>n</m:t>
        </m:r>
        <m:r>
          <m:rPr>
            <m:sty m:val="p"/>
          </m:rPr>
          <m:t>−</m:t>
        </m:r>
      </m:oMath>
      <w:r>
        <w:rPr>
          <w:b/>
          <w:bCs/>
        </w:rPr>
        <w:t xml:space="preserve">950 million</w:t>
      </w:r>
      <w:r>
        <w:t xml:space="preserve">.</w:t>
      </w:r>
    </w:p>
    <w:p>
      <w:pPr>
        <w:pStyle w:val="BodyText"/>
      </w:pPr>
      <w:r>
        <w:t xml:space="preserve">Management’s rationale is compelling:</w:t>
      </w:r>
    </w:p>
    <w:p>
      <w:pPr>
        <w:pStyle w:val="Compact"/>
        <w:numPr>
          <w:ilvl w:val="0"/>
          <w:numId w:val="1014"/>
        </w:numPr>
      </w:pPr>
      <w:r>
        <w:t xml:space="preserve">Wynn Palace regularly approaches 100% occupancy.</w:t>
      </w:r>
    </w:p>
    <w:p>
      <w:pPr>
        <w:pStyle w:val="Compact"/>
        <w:numPr>
          <w:ilvl w:val="0"/>
          <w:numId w:val="1014"/>
        </w:numPr>
      </w:pPr>
      <w:r>
        <w:t xml:space="preserve">The project increases total rooms by approximately 25%.</w:t>
      </w:r>
    </w:p>
    <w:p>
      <w:pPr>
        <w:pStyle w:val="Compact"/>
        <w:numPr>
          <w:ilvl w:val="0"/>
          <w:numId w:val="1014"/>
        </w:numPr>
      </w:pPr>
      <w:r>
        <w:t xml:space="preserve">Suite capacity increases by roughly 50%.</w:t>
      </w:r>
    </w:p>
    <w:p>
      <w:pPr>
        <w:pStyle w:val="Compact"/>
        <w:numPr>
          <w:ilvl w:val="0"/>
          <w:numId w:val="1014"/>
        </w:numPr>
      </w:pPr>
      <w:r>
        <w:t xml:space="preserve">The tower connects to existing gaming and food-and-beverage infrastructure.</w:t>
      </w:r>
    </w:p>
    <w:p>
      <w:pPr>
        <w:pStyle w:val="Compact"/>
        <w:numPr>
          <w:ilvl w:val="0"/>
          <w:numId w:val="1014"/>
        </w:numPr>
      </w:pPr>
      <w:r>
        <w:t xml:space="preserve">Management has estimated approximately $400 million of incremental annual GGR and</w:t>
      </w:r>
      <w:r>
        <w:t xml:space="preserve"> </w:t>
      </w:r>
      <m:oMath>
        <m:r>
          <m:t>150</m:t>
        </m:r>
        <m:r>
          <m:t>m</m:t>
        </m:r>
        <m:r>
          <m:t>i</m:t>
        </m:r>
        <m:r>
          <m:t>l</m:t>
        </m:r>
        <m:r>
          <m:t>l</m:t>
        </m:r>
        <m:r>
          <m:t>i</m:t>
        </m:r>
        <m:r>
          <m:t>o</m:t>
        </m:r>
        <m:r>
          <m:t>n</m:t>
        </m:r>
        <m:r>
          <m:rPr>
            <m:sty m:val="p"/>
          </m:rPr>
          <m:t>−</m:t>
        </m:r>
      </m:oMath>
      <w:r>
        <w:t xml:space="preserve">175 million of potential EBITDA.</w:t>
      </w:r>
    </w:p>
    <w:p>
      <w:pPr>
        <w:pStyle w:val="FirstParagraph"/>
      </w:pPr>
      <w:r>
        <w:t xml:space="preserve">On July 22, Wynn also disclosed an amended Macau land concession allowing development of a new five-star hotel, theater, and event and entertainment center. The amendment provides up to 60 months for development and required an approximately</w:t>
      </w:r>
      <w:r>
        <w:t xml:space="preserve"> </w:t>
      </w:r>
      <w:r>
        <w:rPr>
          <w:b/>
          <w:bCs/>
        </w:rPr>
        <w:t xml:space="preserve">$80.8 million</w:t>
      </w:r>
      <w:r>
        <w:t xml:space="preserve"> </w:t>
      </w:r>
      <w:r>
        <w:t xml:space="preserve">additional land premium.</w:t>
      </w:r>
    </w:p>
    <w:bookmarkStart w:id="22" w:name="the-investor-debate"/>
    <w:p>
      <w:pPr>
        <w:pStyle w:val="Heading3"/>
      </w:pPr>
      <w:r>
        <w:t xml:space="preserve">The investor debate</w:t>
      </w:r>
    </w:p>
    <w:p>
      <w:pPr>
        <w:pStyle w:val="FirstParagraph"/>
      </w:pPr>
      <w:r>
        <w:t xml:space="preserve">The individual projects appear strategically logical, but Wynn is now funding several major initiatives simultaneously:</w:t>
      </w:r>
    </w:p>
    <w:p>
      <w:pPr>
        <w:pStyle w:val="Compact"/>
        <w:numPr>
          <w:ilvl w:val="0"/>
          <w:numId w:val="1015"/>
        </w:numPr>
      </w:pPr>
      <w:r>
        <w:t xml:space="preserve">Wynn Al Marjan and Janu.</w:t>
      </w:r>
    </w:p>
    <w:p>
      <w:pPr>
        <w:pStyle w:val="Compact"/>
        <w:numPr>
          <w:ilvl w:val="0"/>
          <w:numId w:val="1015"/>
        </w:numPr>
      </w:pPr>
      <w:r>
        <w:t xml:space="preserve">The Enclave and other Macau concession projects.</w:t>
      </w:r>
    </w:p>
    <w:p>
      <w:pPr>
        <w:pStyle w:val="Compact"/>
        <w:numPr>
          <w:ilvl w:val="0"/>
          <w:numId w:val="1015"/>
        </w:numPr>
      </w:pPr>
      <w:r>
        <w:t xml:space="preserve">The Macau theater/event center.</w:t>
      </w:r>
    </w:p>
    <w:p>
      <w:pPr>
        <w:pStyle w:val="Compact"/>
        <w:numPr>
          <w:ilvl w:val="0"/>
          <w:numId w:val="1015"/>
        </w:numPr>
      </w:pPr>
      <w:r>
        <w:t xml:space="preserve">The Encore Tower renovation.</w:t>
      </w:r>
    </w:p>
    <w:p>
      <w:pPr>
        <w:pStyle w:val="Compact"/>
        <w:numPr>
          <w:ilvl w:val="0"/>
          <w:numId w:val="1015"/>
        </w:numPr>
      </w:pPr>
      <w:r>
        <w:t xml:space="preserve">Ongoing maintenance and property enhancements.</w:t>
      </w:r>
    </w:p>
    <w:p>
      <w:pPr>
        <w:pStyle w:val="FirstParagraph"/>
      </w:pPr>
      <w:r>
        <w:t xml:space="preserve">Management previously guided to</w:t>
      </w:r>
      <w:r>
        <w:t xml:space="preserve"> </w:t>
      </w:r>
      <m:oMath>
        <m:r>
          <m:t>400</m:t>
        </m:r>
        <m:r>
          <m:t>m</m:t>
        </m:r>
        <m:r>
          <m:t>i</m:t>
        </m:r>
        <m:r>
          <m:t>l</m:t>
        </m:r>
        <m:r>
          <m:t>l</m:t>
        </m:r>
        <m:r>
          <m:t>i</m:t>
        </m:r>
        <m:r>
          <m:t>o</m:t>
        </m:r>
        <m:r>
          <m:t>n</m:t>
        </m:r>
        <m:r>
          <m:rPr>
            <m:sty m:val="p"/>
          </m:rPr>
          <m:t>−</m:t>
        </m:r>
      </m:oMath>
      <w:r>
        <w:rPr>
          <w:b/>
          <w:bCs/>
        </w:rPr>
        <w:t xml:space="preserve">450 million of Macau expansionary capital expenditure in 2026</w:t>
      </w:r>
      <w:r>
        <w:t xml:space="preserve">. Investors will want an updated multiyear schedule and reassurance that capital returns remain attractive after accounting for the full project stack.</w:t>
      </w:r>
    </w:p>
    <w:p>
      <w:r>
        <w:pict>
          <v:rect style="width:0;height:1.5pt" o:hralign="center" o:hrstd="t" o:hr="t"/>
        </w:pict>
      </w:r>
    </w:p>
    <w:bookmarkEnd w:id="22"/>
    <w:bookmarkEnd w:id="23"/>
    <w:bookmarkStart w:id="24" w:name="Xeabaa3572815d87b1809764f9be4819bdf472b9"/>
    <w:p>
      <w:pPr>
        <w:pStyle w:val="Heading2"/>
      </w:pPr>
      <w:r>
        <w:t xml:space="preserve">5. Boston likely remains the weakest property comparison</w:t>
      </w:r>
    </w:p>
    <w:p>
      <w:pPr>
        <w:pStyle w:val="FirstParagraph"/>
      </w:pPr>
      <w:r>
        <w:t xml:space="preserve">Encore Boston Harbor produced $50.5 million of Q1 EBITDAR, down from $57.5 million a year earlier, as severe weather and wage pressure offset slot growth.</w:t>
      </w:r>
    </w:p>
    <w:p>
      <w:pPr>
        <w:pStyle w:val="BodyText"/>
      </w:pPr>
      <w:r>
        <w:t xml:space="preserve">Management said Q2 began steadily, with table drop and handle ahead of the prior year. However, Q2 2025 is a difficult comparison:</w:t>
      </w:r>
    </w:p>
    <w:p>
      <w:pPr>
        <w:pStyle w:val="Compact"/>
        <w:numPr>
          <w:ilvl w:val="0"/>
          <w:numId w:val="1016"/>
        </w:numPr>
      </w:pPr>
      <w:r>
        <w:t xml:space="preserve">Revenue: $215.7 million.</w:t>
      </w:r>
    </w:p>
    <w:p>
      <w:pPr>
        <w:pStyle w:val="Compact"/>
        <w:numPr>
          <w:ilvl w:val="0"/>
          <w:numId w:val="1016"/>
        </w:numPr>
      </w:pPr>
      <w:r>
        <w:t xml:space="preserve">EBITDAR: $63.9 million.</w:t>
      </w:r>
    </w:p>
    <w:p>
      <w:pPr>
        <w:pStyle w:val="Compact"/>
        <w:numPr>
          <w:ilvl w:val="0"/>
          <w:numId w:val="1016"/>
        </w:numPr>
      </w:pPr>
      <w:r>
        <w:t xml:space="preserve">Margin: 29.6%.</w:t>
      </w:r>
    </w:p>
    <w:p>
      <w:pPr>
        <w:pStyle w:val="FirstParagraph"/>
      </w:pPr>
      <w:r>
        <w:t xml:space="preserve">The more important question may be whether Boston’s daily operating expense remains controlled amid union wage increases and competition from New Hampshire. A sequential recovery from Q1 would be encouraging even if the property does not match the unusually strong prior-year EBITDAR result.</w:t>
      </w:r>
    </w:p>
    <w:p>
      <w:r>
        <w:pict>
          <v:rect style="width:0;height:1.5pt" o:hralign="center" o:hrstd="t" o:hr="t"/>
        </w:pict>
      </w:r>
    </w:p>
    <w:bookmarkEnd w:id="24"/>
    <w:bookmarkStart w:id="25" w:name="X635481fe0978ccb9476aba36996820b5ffe0ee8"/>
    <w:p>
      <w:pPr>
        <w:pStyle w:val="Heading2"/>
      </w:pPr>
      <w:r>
        <w:t xml:space="preserve">6. Balance sheet, buybacks and free cash flow</w:t>
      </w:r>
    </w:p>
    <w:p>
      <w:pPr>
        <w:pStyle w:val="FirstParagraph"/>
      </w:pPr>
      <w:r>
        <w:t xml:space="preserve">At March 31, Wynn reported:</w:t>
      </w:r>
    </w:p>
    <w:p>
      <w:pPr>
        <w:pStyle w:val="Compact"/>
        <w:numPr>
          <w:ilvl w:val="0"/>
          <w:numId w:val="1017"/>
        </w:numPr>
      </w:pPr>
      <w:r>
        <w:t xml:space="preserve">Approximately</w:t>
      </w:r>
      <w:r>
        <w:t xml:space="preserve"> </w:t>
      </w:r>
      <w:r>
        <w:rPr>
          <w:b/>
          <w:bCs/>
        </w:rPr>
        <w:t xml:space="preserve">$4.4 billion</w:t>
      </w:r>
      <w:r>
        <w:t xml:space="preserve"> </w:t>
      </w:r>
      <w:r>
        <w:t xml:space="preserve">of global cash and revolver availability.</w:t>
      </w:r>
    </w:p>
    <w:p>
      <w:pPr>
        <w:pStyle w:val="Compact"/>
        <w:numPr>
          <w:ilvl w:val="0"/>
          <w:numId w:val="1017"/>
        </w:numPr>
      </w:pPr>
      <w:r>
        <w:t xml:space="preserve">Consolidated net leverage slightly above</w:t>
      </w:r>
      <w:r>
        <w:t xml:space="preserve"> </w:t>
      </w:r>
      <w:r>
        <w:rPr>
          <w:b/>
          <w:bCs/>
        </w:rPr>
        <w:t xml:space="preserve">4.4x</w:t>
      </w:r>
      <w:r>
        <w:t xml:space="preserve">.</w:t>
      </w:r>
    </w:p>
    <w:p>
      <w:pPr>
        <w:pStyle w:val="Compact"/>
        <w:numPr>
          <w:ilvl w:val="0"/>
          <w:numId w:val="1017"/>
        </w:numPr>
      </w:pPr>
      <w:r>
        <w:t xml:space="preserve">Total debt of approximately</w:t>
      </w:r>
      <w:r>
        <w:t xml:space="preserve"> </w:t>
      </w:r>
      <w:r>
        <w:rPr>
          <w:b/>
          <w:bCs/>
        </w:rPr>
        <w:t xml:space="preserve">$10.5 billion</w:t>
      </w:r>
      <w:r>
        <w:t xml:space="preserve">.</w:t>
      </w:r>
    </w:p>
    <w:p>
      <w:pPr>
        <w:pStyle w:val="Compact"/>
        <w:numPr>
          <w:ilvl w:val="0"/>
          <w:numId w:val="1017"/>
        </w:numPr>
      </w:pPr>
      <w:r>
        <w:t xml:space="preserve">$401 million of remaining repurchase authorization.</w:t>
      </w:r>
    </w:p>
    <w:p>
      <w:pPr>
        <w:pStyle w:val="FirstParagraph"/>
      </w:pPr>
      <w:r>
        <w:t xml:space="preserve">The company repurchased:</w:t>
      </w:r>
    </w:p>
    <w:p>
      <w:pPr>
        <w:pStyle w:val="Compact"/>
        <w:numPr>
          <w:ilvl w:val="0"/>
          <w:numId w:val="1018"/>
        </w:numPr>
      </w:pPr>
      <w:r>
        <w:t xml:space="preserve">Approximately $54 million of shares during Q1 at an average price of $101.72.</w:t>
      </w:r>
    </w:p>
    <w:p>
      <w:pPr>
        <w:pStyle w:val="Compact"/>
        <w:numPr>
          <w:ilvl w:val="0"/>
          <w:numId w:val="1018"/>
        </w:numPr>
      </w:pPr>
      <w:r>
        <w:t xml:space="preserve">Another $30.6 million early in Q2.</w:t>
      </w:r>
    </w:p>
    <w:p>
      <w:pPr>
        <w:pStyle w:val="FirstParagraph"/>
      </w:pPr>
      <w:r>
        <w:t xml:space="preserve">WYNN closed at</w:t>
      </w:r>
      <w:r>
        <w:t xml:space="preserve"> </w:t>
      </w:r>
      <w:r>
        <w:rPr>
          <w:b/>
          <w:bCs/>
        </w:rPr>
        <w:t xml:space="preserve">$98.38 on August 3</w:t>
      </w:r>
      <w:r>
        <w:t xml:space="preserve">, approximately 8% below its May 7 earnings-day close and modestly above its June 30 close. With the shares below Wynn’s Q1 average repurchase price, investors will look for continued buybacks.</w:t>
      </w:r>
    </w:p>
    <w:p>
      <w:pPr>
        <w:pStyle w:val="BodyText"/>
      </w:pPr>
      <w:r>
        <w:t xml:space="preserve">The tension is that buybacks and dividends now compete with an expanding capital program. The market should respond favorably if Wynn can demonstrate that operating cash flow and Macau dividends are sufficient to fund development while keeping leverage stable.</w:t>
      </w:r>
    </w:p>
    <w:p>
      <w:r>
        <w:pict>
          <v:rect style="width:0;height:1.5pt" o:hralign="center" o:hrstd="t" o:hr="t"/>
        </w:pict>
      </w:r>
    </w:p>
    <w:bookmarkEnd w:id="25"/>
    <w:bookmarkStart w:id="28" w:name="bull-and-bear-scorecards"/>
    <w:p>
      <w:pPr>
        <w:pStyle w:val="Heading2"/>
      </w:pPr>
      <w:r>
        <w:t xml:space="preserve">Bull and bear scorecards</w:t>
      </w:r>
    </w:p>
    <w:bookmarkStart w:id="26" w:name="bullish-result"/>
    <w:p>
      <w:pPr>
        <w:pStyle w:val="Heading3"/>
      </w:pPr>
      <w:r>
        <w:t xml:space="preserve">Bullish result</w:t>
      </w:r>
    </w:p>
    <w:p>
      <w:pPr>
        <w:pStyle w:val="Compact"/>
        <w:numPr>
          <w:ilvl w:val="0"/>
          <w:numId w:val="1019"/>
        </w:numPr>
      </w:pPr>
      <w:r>
        <w:t xml:space="preserve">Macau volumes remain strong and July rebounds sharply.</w:t>
      </w:r>
    </w:p>
    <w:p>
      <w:pPr>
        <w:pStyle w:val="Compact"/>
        <w:numPr>
          <w:ilvl w:val="0"/>
          <w:numId w:val="1019"/>
        </w:numPr>
      </w:pPr>
      <w:r>
        <w:t xml:space="preserve">Macau normalized EBITDAR approaches or exceeds Q1.</w:t>
      </w:r>
    </w:p>
    <w:p>
      <w:pPr>
        <w:pStyle w:val="Compact"/>
        <w:numPr>
          <w:ilvl w:val="0"/>
          <w:numId w:val="1019"/>
        </w:numPr>
      </w:pPr>
      <w:r>
        <w:t xml:space="preserve">Las Vegas gaming share and ADR continue to rise.</w:t>
      </w:r>
    </w:p>
    <w:p>
      <w:pPr>
        <w:pStyle w:val="Compact"/>
        <w:numPr>
          <w:ilvl w:val="0"/>
          <w:numId w:val="1019"/>
        </w:numPr>
      </w:pPr>
      <w:r>
        <w:t xml:space="preserve">Encore renovation disruption remains limited.</w:t>
      </w:r>
    </w:p>
    <w:p>
      <w:pPr>
        <w:pStyle w:val="Compact"/>
        <w:numPr>
          <w:ilvl w:val="0"/>
          <w:numId w:val="1019"/>
        </w:numPr>
      </w:pPr>
      <w:r>
        <w:t xml:space="preserve">Wynn Al Marjan stays within 2027 with only a modest cost increase.</w:t>
      </w:r>
    </w:p>
    <w:p>
      <w:pPr>
        <w:pStyle w:val="Compact"/>
        <w:numPr>
          <w:ilvl w:val="0"/>
          <w:numId w:val="1019"/>
        </w:numPr>
      </w:pPr>
      <w:r>
        <w:t xml:space="preserve">Buybacks continue at an active pace.</w:t>
      </w:r>
    </w:p>
    <w:p>
      <w:pPr>
        <w:pStyle w:val="Compact"/>
        <w:numPr>
          <w:ilvl w:val="0"/>
          <w:numId w:val="1019"/>
        </w:numPr>
      </w:pPr>
      <w:r>
        <w:t xml:space="preserve">Management provides a credible, internally funded path through peak capital spending.</w:t>
      </w:r>
    </w:p>
    <w:bookmarkEnd w:id="26"/>
    <w:bookmarkStart w:id="27" w:name="bearish-result"/>
    <w:p>
      <w:pPr>
        <w:pStyle w:val="Heading3"/>
      </w:pPr>
      <w:r>
        <w:t xml:space="preserve">Bearish result</w:t>
      </w:r>
    </w:p>
    <w:p>
      <w:pPr>
        <w:pStyle w:val="Compact"/>
        <w:numPr>
          <w:ilvl w:val="0"/>
          <w:numId w:val="1020"/>
        </w:numPr>
      </w:pPr>
      <w:r>
        <w:t xml:space="preserve">Macau growth requires substantially higher promotions or costs.</w:t>
      </w:r>
    </w:p>
    <w:p>
      <w:pPr>
        <w:pStyle w:val="Compact"/>
        <w:numPr>
          <w:ilvl w:val="0"/>
          <w:numId w:val="1020"/>
        </w:numPr>
      </w:pPr>
      <w:r>
        <w:t xml:space="preserve">June weakness persists into July.</w:t>
      </w:r>
    </w:p>
    <w:p>
      <w:pPr>
        <w:pStyle w:val="Compact"/>
        <w:numPr>
          <w:ilvl w:val="0"/>
          <w:numId w:val="1020"/>
        </w:numPr>
      </w:pPr>
      <w:r>
        <w:t xml:space="preserve">Las Vegas rate, group pace or gaming volumes soften.</w:t>
      </w:r>
    </w:p>
    <w:p>
      <w:pPr>
        <w:pStyle w:val="Compact"/>
        <w:numPr>
          <w:ilvl w:val="0"/>
          <w:numId w:val="1020"/>
        </w:numPr>
      </w:pPr>
      <w:r>
        <w:t xml:space="preserve">Encore renovation weighs materially on revenue or margin.</w:t>
      </w:r>
    </w:p>
    <w:p>
      <w:pPr>
        <w:pStyle w:val="Compact"/>
        <w:numPr>
          <w:ilvl w:val="0"/>
          <w:numId w:val="1020"/>
        </w:numPr>
      </w:pPr>
      <w:r>
        <w:t xml:space="preserve">Al Marjan slips into 2028 or remaining equity needs rise sharply.</w:t>
      </w:r>
    </w:p>
    <w:p>
      <w:pPr>
        <w:pStyle w:val="Compact"/>
        <w:numPr>
          <w:ilvl w:val="0"/>
          <w:numId w:val="1020"/>
        </w:numPr>
      </w:pPr>
      <w:r>
        <w:t xml:space="preserve">The combined Macau, Las Vegas and UAE capital program reduces expected shareholder returns.</w:t>
      </w:r>
    </w:p>
    <w:p>
      <w:pPr>
        <w:pStyle w:val="Compact"/>
        <w:numPr>
          <w:ilvl w:val="0"/>
          <w:numId w:val="1020"/>
        </w:numPr>
      </w:pPr>
      <w:r>
        <w:t xml:space="preserve">Buybacks slow because cash is being reserved for development.</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The core operating backdrop appears reasonably favorable: Wynn remains well positioned in premium Macau and luxury Las Vegas, and peer results support the view that high-end demand is more resilient than the broader leisure market.</w:t>
      </w:r>
    </w:p>
    <w:p>
      <w:pPr>
        <w:pStyle w:val="BodyText"/>
      </w:pPr>
      <w:r>
        <w:t xml:space="preserve">But this is increasingly a</w:t>
      </w:r>
      <w:r>
        <w:t xml:space="preserve"> </w:t>
      </w:r>
      <w:r>
        <w:rPr>
          <w:b/>
          <w:bCs/>
        </w:rPr>
        <w:t xml:space="preserve">capital-allocation and execution story</w:t>
      </w:r>
      <w:r>
        <w:t xml:space="preserve">, not simply a one-quarter earnings story. The most important disclosures will likely be:</w:t>
      </w:r>
    </w:p>
    <w:p>
      <w:pPr>
        <w:pStyle w:val="Compact"/>
        <w:numPr>
          <w:ilvl w:val="0"/>
          <w:numId w:val="1021"/>
        </w:numPr>
      </w:pPr>
      <w:r>
        <w:rPr>
          <w:b/>
          <w:bCs/>
        </w:rPr>
        <w:t xml:space="preserve">Hold-adjusted Macau performance and July trends.</w:t>
      </w:r>
    </w:p>
    <w:p>
      <w:pPr>
        <w:pStyle w:val="Compact"/>
        <w:numPr>
          <w:ilvl w:val="0"/>
          <w:numId w:val="1021"/>
        </w:numPr>
      </w:pPr>
      <w:r>
        <w:rPr>
          <w:b/>
          <w:bCs/>
        </w:rPr>
        <w:t xml:space="preserve">Las Vegas margin and room-renovation disruption.</w:t>
      </w:r>
    </w:p>
    <w:p>
      <w:pPr>
        <w:pStyle w:val="Compact"/>
        <w:numPr>
          <w:ilvl w:val="0"/>
          <w:numId w:val="1021"/>
        </w:numPr>
      </w:pPr>
      <w:r>
        <w:rPr>
          <w:b/>
          <w:bCs/>
        </w:rPr>
        <w:t xml:space="preserve">A quantified Wynn Al Marjan opening timetable and budget update.</w:t>
      </w:r>
    </w:p>
    <w:p>
      <w:pPr>
        <w:pStyle w:val="Compact"/>
        <w:numPr>
          <w:ilvl w:val="0"/>
          <w:numId w:val="1021"/>
        </w:numPr>
      </w:pPr>
      <w:r>
        <w:rPr>
          <w:b/>
          <w:bCs/>
        </w:rPr>
        <w:t xml:space="preserve">The consolidated funding plan for Macau, Las Vegas and UAE development.</w:t>
      </w:r>
    </w:p>
    <w:p>
      <w:pPr>
        <w:pStyle w:val="FirstParagraph"/>
      </w:pPr>
      <w:r>
        <w:t xml:space="preserve">A merely adequate quarter paired with a reassuring Al Marjan update could outperform a stronger headline print accompanied by a material delay or cost escalation.</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2026-08-04T01:26:24Z</dcterms:created>
  <dcterms:modified xsi:type="dcterms:W3CDTF">2026-08-04T01:26:24Z</dcterms:modified>
</cp:coreProperties>
</file>

<file path=docProps/custom.xml><?xml version="1.0" encoding="utf-8"?>
<Properties xmlns="http://schemas.openxmlformats.org/officeDocument/2006/custom-properties" xmlns:vt="http://schemas.openxmlformats.org/officeDocument/2006/docPropsVTypes"/>
</file>