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wynn-q2-2026-earnings-preview"/>
    <w:p>
      <w:pPr>
        <w:pStyle w:val="Heading1"/>
      </w:pPr>
      <w:r>
        <w:t xml:space="preserve">WYNN Q2 2026 Earnings Preview</w:t>
      </w:r>
    </w:p>
    <w:p>
      <w:pPr>
        <w:pStyle w:val="BlockText"/>
      </w:pPr>
      <w:r>
        <w:rPr>
          <w:b/>
          <w:bCs/>
        </w:rPr>
        <w:t xml:space="preserve">Timing note:</w:t>
      </w:r>
      <w:r>
        <w:t xml:space="preserve"> </w:t>
      </w:r>
      <w:r>
        <w:t xml:space="preserve">Today is</w:t>
      </w:r>
      <w:r>
        <w:t xml:space="preserve"> </w:t>
      </w:r>
      <w:r>
        <w:rPr>
          <w:b/>
          <w:bCs/>
        </w:rPr>
        <w:t xml:space="preserve">Tuesday, August 4, 2026</w:t>
      </w:r>
      <w:r>
        <w:t xml:space="preserve">. The event date provided—</w:t>
      </w:r>
      <w:r>
        <w:rPr>
          <w:b/>
          <w:bCs/>
        </w:rPr>
        <w:t xml:space="preserve">August 4, 2026</w:t>
      </w:r>
      <w:r>
        <w:t xml:space="preserve">—indicates WYNN reports</w:t>
      </w:r>
      <w:r>
        <w:t xml:space="preserve"> </w:t>
      </w:r>
      <w:r>
        <w:rPr>
          <w:b/>
          <w:bCs/>
        </w:rPr>
        <w:t xml:space="preserve">today</w:t>
      </w:r>
      <w:r>
        <w:t xml:space="preserve">, rather than tomorrow.</w:t>
      </w:r>
    </w:p>
    <w:bookmarkStart w:id="9" w:name="Xe476d72c14ca2b8fc2ebe1812f7f22a27cb6d55"/>
    <w:p>
      <w:pPr>
        <w:pStyle w:val="Heading2"/>
      </w:pPr>
      <w:r>
        <w:t xml:space="preserve">Investment view: execution in Macau and Las Vegas versus rising development spend</w:t>
      </w:r>
    </w:p>
    <w:p>
      <w:pPr>
        <w:pStyle w:val="FirstParagraph"/>
      </w:pPr>
      <w:r>
        <w:t xml:space="preserve">Wynn enters Q2 with operating momentum across its two most important markets—</w:t>
      </w:r>
      <w:r>
        <w:rPr>
          <w:b/>
          <w:bCs/>
        </w:rPr>
        <w:t xml:space="preserve">Macau premium gaming</w:t>
      </w:r>
      <w:r>
        <w:t xml:space="preserve"> </w:t>
      </w:r>
      <w:r>
        <w:t xml:space="preserve">and</w:t>
      </w:r>
      <w:r>
        <w:t xml:space="preserve"> </w:t>
      </w:r>
      <w:r>
        <w:rPr>
          <w:b/>
          <w:bCs/>
        </w:rPr>
        <w:t xml:space="preserve">Las Vegas luxury hospitality</w:t>
      </w:r>
      <w:r>
        <w:t xml:space="preserve">—but with investors likely focused less on the headline quarter than on three forward issues:</w:t>
      </w:r>
    </w:p>
    <w:p>
      <w:pPr>
        <w:pStyle w:val="Compact"/>
        <w:numPr>
          <w:ilvl w:val="0"/>
          <w:numId w:val="1001"/>
        </w:numPr>
      </w:pPr>
      <w:r>
        <w:rPr>
          <w:b/>
          <w:bCs/>
        </w:rPr>
        <w:t xml:space="preserve">Whether Macau’s premium-mass momentum remained intact through Q2</w:t>
      </w:r>
    </w:p>
    <w:p>
      <w:pPr>
        <w:pStyle w:val="Compact"/>
        <w:numPr>
          <w:ilvl w:val="0"/>
          <w:numId w:val="1001"/>
        </w:numPr>
      </w:pPr>
      <w:r>
        <w:rPr>
          <w:b/>
          <w:bCs/>
        </w:rPr>
        <w:t xml:space="preserve">Whether Las Vegas can sustain pricing and margin strength during the Encore-room renovation</w:t>
      </w:r>
    </w:p>
    <w:p>
      <w:pPr>
        <w:pStyle w:val="Compact"/>
        <w:numPr>
          <w:ilvl w:val="0"/>
          <w:numId w:val="1001"/>
        </w:numPr>
      </w:pPr>
      <w:r>
        <w:rPr>
          <w:b/>
          <w:bCs/>
        </w:rPr>
        <w:t xml:space="preserve">Whether management can put a firmer timetable and cost frame around Wynn Al Marjan Island in the UAE</w:t>
      </w:r>
    </w:p>
    <w:p>
      <w:pPr>
        <w:pStyle w:val="FirstParagraph"/>
      </w:pPr>
      <w:r>
        <w:t xml:space="preserve">The setup looks reasonably constructive operationally. On the Q1 call, management said April trends were positive: Macau mass drop was ahead year over year, Las Vegas gaming volumes and ADR were up, and Encore Boston Harbor’s drop and handle were also ahead. However, Wynn has an unusually high sensitivity to gaming hold, premium-customer mix, and Macau reinvestment trends, which can make a solid underlying quarter appear either much stronger or weaker in reported results.</w:t>
      </w:r>
    </w:p>
    <w:p>
      <w:pPr>
        <w:pStyle w:val="BodyText"/>
      </w:pPr>
      <w:r>
        <w:t xml:space="preserve">The stock closed at</w:t>
      </w:r>
      <w:r>
        <w:t xml:space="preserve"> </w:t>
      </w:r>
      <w:r>
        <w:rPr>
          <w:b/>
          <w:bCs/>
        </w:rPr>
        <w:t xml:space="preserve">$98.38 on August 3</w:t>
      </w:r>
      <w:r>
        <w:t xml:space="preserve">, below its May 1 close of $105.98. That leaves the report positioned as an opportunity for management to validate the core operating story and reduce uncertainty around the development pipeline.</w:t>
      </w:r>
    </w:p>
    <w:p>
      <w:r>
        <w:pict>
          <v:rect style="width:0;height:1.5pt" o:hralign="center" o:hrstd="t" o:hr="t"/>
        </w:pict>
      </w:r>
    </w:p>
    <w:bookmarkEnd w:id="9"/>
    <w:bookmarkStart w:id="10" w:name="X2e8eb53a50230012a57d21dc298ba2aa2feccd0"/>
    <w:p>
      <w:pPr>
        <w:pStyle w:val="Heading2"/>
      </w:pPr>
      <w:r>
        <w:t xml:space="preserve">The Q1 baseline: strong consolidated growth, but uneven property-level performance</w:t>
      </w:r>
    </w:p>
    <w:p>
      <w:pPr>
        <w:pStyle w:val="FirstParagraph"/>
      </w:pPr>
      <w:r>
        <w:t xml:space="preserve">Wynn’s Q1 results set a high bar: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Q1 2026</w:t>
            </w:r>
          </w:p>
        </w:tc>
        <w:tc>
          <w:tcPr/>
          <w:p>
            <w:pPr>
              <w:pStyle w:val="Compact"/>
              <w:jc w:val="right"/>
            </w:pPr>
            <w:r>
              <w:t xml:space="preserve">Result</w:t>
            </w:r>
          </w:p>
        </w:tc>
        <w:tc>
          <w:tcPr/>
          <w:p>
            <w:pPr>
              <w:pStyle w:val="Compact"/>
              <w:jc w:val="right"/>
            </w:pPr>
            <w:r>
              <w:t xml:space="preserve">YoY change</w:t>
            </w:r>
          </w:p>
        </w:tc>
      </w:tr>
      <w:tr>
        <w:tc>
          <w:tcPr/>
          <w:p>
            <w:pPr>
              <w:pStyle w:val="Compact"/>
            </w:pPr>
            <w:r>
              <w:t xml:space="preserve">Revenue</w:t>
            </w:r>
          </w:p>
        </w:tc>
        <w:tc>
          <w:tcPr/>
          <w:p>
            <w:pPr>
              <w:pStyle w:val="Compact"/>
              <w:jc w:val="right"/>
            </w:pPr>
            <w:r>
              <w:rPr>
                <w:b/>
                <w:bCs/>
              </w:rPr>
              <w:t xml:space="preserve">$1.86B</w:t>
            </w:r>
          </w:p>
        </w:tc>
        <w:tc>
          <w:tcPr/>
          <w:p>
            <w:pPr>
              <w:pStyle w:val="Compact"/>
              <w:jc w:val="right"/>
            </w:pPr>
            <w:r>
              <w:rPr>
                <w:b/>
                <w:bCs/>
              </w:rPr>
              <w:t xml:space="preserve">+9%</w:t>
            </w:r>
          </w:p>
        </w:tc>
      </w:tr>
      <w:tr>
        <w:tc>
          <w:tcPr/>
          <w:p>
            <w:pPr>
              <w:pStyle w:val="Compact"/>
            </w:pPr>
            <w:r>
              <w:t xml:space="preserve">Adjusted Property EBITDAR</w:t>
            </w:r>
          </w:p>
        </w:tc>
        <w:tc>
          <w:tcPr/>
          <w:p>
            <w:pPr>
              <w:pStyle w:val="Compact"/>
              <w:jc w:val="right"/>
            </w:pPr>
            <w:r>
              <w:rPr>
                <w:b/>
                <w:bCs/>
              </w:rPr>
              <w:t xml:space="preserve">$562.4M</w:t>
            </w:r>
          </w:p>
        </w:tc>
        <w:tc>
          <w:tcPr/>
          <w:p>
            <w:pPr>
              <w:pStyle w:val="Compact"/>
              <w:jc w:val="right"/>
            </w:pPr>
            <w:r>
              <w:rPr>
                <w:b/>
                <w:bCs/>
              </w:rPr>
              <w:t xml:space="preserve">+6%</w:t>
            </w:r>
          </w:p>
        </w:tc>
      </w:tr>
      <w:tr>
        <w:tc>
          <w:tcPr/>
          <w:p>
            <w:pPr>
              <w:pStyle w:val="Compact"/>
            </w:pPr>
            <w:r>
              <w:t xml:space="preserve">Adjusted EPS</w:t>
            </w:r>
          </w:p>
        </w:tc>
        <w:tc>
          <w:tcPr/>
          <w:p>
            <w:pPr>
              <w:pStyle w:val="Compact"/>
              <w:jc w:val="right"/>
            </w:pPr>
            <w:r>
              <w:rPr>
                <w:b/>
                <w:bCs/>
              </w:rPr>
              <w:t xml:space="preserve">$1.25</w:t>
            </w:r>
          </w:p>
        </w:tc>
        <w:tc>
          <w:tcPr/>
          <w:p>
            <w:pPr>
              <w:pStyle w:val="Compact"/>
              <w:jc w:val="right"/>
            </w:pPr>
            <w:r>
              <w:rPr>
                <w:b/>
                <w:bCs/>
              </w:rPr>
              <w:t xml:space="preserve">+$0.18</w:t>
            </w:r>
          </w:p>
        </w:tc>
      </w:tr>
      <w:tr>
        <w:tc>
          <w:tcPr/>
          <w:p>
            <w:pPr>
              <w:pStyle w:val="Compact"/>
            </w:pPr>
            <w:r>
              <w:t xml:space="preserve">Net income attributable to WYNN</w:t>
            </w:r>
          </w:p>
        </w:tc>
        <w:tc>
          <w:tcPr/>
          <w:p>
            <w:pPr>
              <w:pStyle w:val="Compact"/>
              <w:jc w:val="right"/>
            </w:pPr>
            <w:r>
              <w:rPr>
                <w:b/>
                <w:bCs/>
              </w:rPr>
              <w:t xml:space="preserve">$120.5M</w:t>
            </w:r>
          </w:p>
        </w:tc>
        <w:tc>
          <w:tcPr/>
          <w:p>
            <w:pPr>
              <w:pStyle w:val="Compact"/>
              <w:jc w:val="right"/>
            </w:pPr>
            <w:r>
              <w:rPr>
                <w:b/>
                <w:bCs/>
              </w:rPr>
              <w:t xml:space="preserve">+66%</w:t>
            </w:r>
          </w:p>
        </w:tc>
      </w:tr>
    </w:tbl>
    <w:p>
      <w:pPr>
        <w:pStyle w:val="BodyText"/>
      </w:pPr>
      <w:r>
        <w:t xml:space="preserve">The property-level picture was more nuanced:</w:t>
      </w:r>
    </w:p>
    <w:p>
      <w:pPr>
        <w:pStyle w:val="Compact"/>
        <w:numPr>
          <w:ilvl w:val="0"/>
          <w:numId w:val="1002"/>
        </w:numPr>
      </w:pPr>
      <w:r>
        <w:rPr>
          <w:b/>
          <w:bCs/>
        </w:rPr>
        <w:t xml:space="preserve">Wynn Palace:</w:t>
      </w:r>
      <w:r>
        <w:t xml:space="preserve"> </w:t>
      </w:r>
      <w:r>
        <w:t xml:space="preserve">EBITDAR of</w:t>
      </w:r>
      <w:r>
        <w:t xml:space="preserve"> </w:t>
      </w:r>
      <w:r>
        <w:rPr>
          <w:b/>
          <w:bCs/>
        </w:rPr>
        <w:t xml:space="preserve">$203.8M</w:t>
      </w:r>
      <w:r>
        <w:t xml:space="preserve">, up</w:t>
      </w:r>
      <w:r>
        <w:t xml:space="preserve"> </w:t>
      </w:r>
      <w:r>
        <w:rPr>
          <w:b/>
          <w:bCs/>
        </w:rPr>
        <w:t xml:space="preserve">26%</w:t>
      </w:r>
      <w:r>
        <w:t xml:space="preserve"> </w:t>
      </w:r>
      <w:r>
        <w:t xml:space="preserve">year over year, on 23% revenue growth. This was the standout performer, supported by strong mass-market table drop, slot volume, and favorable gaming hold.</w:t>
      </w:r>
    </w:p>
    <w:p>
      <w:pPr>
        <w:pStyle w:val="Compact"/>
        <w:numPr>
          <w:ilvl w:val="0"/>
          <w:numId w:val="1002"/>
        </w:numPr>
      </w:pPr>
      <w:r>
        <w:rPr>
          <w:b/>
          <w:bCs/>
        </w:rPr>
        <w:t xml:space="preserve">Wynn Macau:</w:t>
      </w:r>
      <w:r>
        <w:t xml:space="preserve"> </w:t>
      </w:r>
      <w:r>
        <w:t xml:space="preserve">EBITDAR of</w:t>
      </w:r>
      <w:r>
        <w:t xml:space="preserve"> </w:t>
      </w:r>
      <w:r>
        <w:rPr>
          <w:b/>
          <w:bCs/>
        </w:rPr>
        <w:t xml:space="preserve">$75.6M</w:t>
      </w:r>
      <w:r>
        <w:t xml:space="preserve">, down</w:t>
      </w:r>
      <w:r>
        <w:t xml:space="preserve"> </w:t>
      </w:r>
      <w:r>
        <w:rPr>
          <w:b/>
          <w:bCs/>
        </w:rPr>
        <w:t xml:space="preserve">16%</w:t>
      </w:r>
      <w:r>
        <w:t xml:space="preserve">. The underlying premium-mass volumes were healthy, but results were hit by unusually weak VIP and mass hold.</w:t>
      </w:r>
    </w:p>
    <w:p>
      <w:pPr>
        <w:pStyle w:val="Compact"/>
        <w:numPr>
          <w:ilvl w:val="0"/>
          <w:numId w:val="1002"/>
        </w:numPr>
      </w:pPr>
      <w:r>
        <w:rPr>
          <w:b/>
          <w:bCs/>
        </w:rPr>
        <w:t xml:space="preserve">Las Vegas:</w:t>
      </w:r>
      <w:r>
        <w:t xml:space="preserve"> </w:t>
      </w:r>
      <w:r>
        <w:t xml:space="preserve">EBITDAR of</w:t>
      </w:r>
      <w:r>
        <w:t xml:space="preserve"> </w:t>
      </w:r>
      <w:r>
        <w:rPr>
          <w:b/>
          <w:bCs/>
        </w:rPr>
        <w:t xml:space="preserve">$232.5M</w:t>
      </w:r>
      <w:r>
        <w:t xml:space="preserve">, up</w:t>
      </w:r>
      <w:r>
        <w:t xml:space="preserve"> </w:t>
      </w:r>
      <w:r>
        <w:rPr>
          <w:b/>
          <w:bCs/>
        </w:rPr>
        <w:t xml:space="preserve">4%</w:t>
      </w:r>
      <w:r>
        <w:t xml:space="preserve">, with 10% RevPAR growth, 12% ADR growth, and strong table-game performance.</w:t>
      </w:r>
    </w:p>
    <w:p>
      <w:pPr>
        <w:pStyle w:val="Compact"/>
        <w:numPr>
          <w:ilvl w:val="0"/>
          <w:numId w:val="1002"/>
        </w:numPr>
      </w:pPr>
      <w:r>
        <w:rPr>
          <w:b/>
          <w:bCs/>
        </w:rPr>
        <w:t xml:space="preserve">Encore Boston Harbor:</w:t>
      </w:r>
      <w:r>
        <w:t xml:space="preserve"> </w:t>
      </w:r>
      <w:r>
        <w:t xml:space="preserve">EBITDAR of</w:t>
      </w:r>
      <w:r>
        <w:t xml:space="preserve"> </w:t>
      </w:r>
      <w:r>
        <w:rPr>
          <w:b/>
          <w:bCs/>
        </w:rPr>
        <w:t xml:space="preserve">$50.5M</w:t>
      </w:r>
      <w:r>
        <w:t xml:space="preserve">, down</w:t>
      </w:r>
      <w:r>
        <w:t xml:space="preserve"> </w:t>
      </w:r>
      <w:r>
        <w:rPr>
          <w:b/>
          <w:bCs/>
        </w:rPr>
        <w:t xml:space="preserve">12%</w:t>
      </w:r>
      <w:r>
        <w:t xml:space="preserve">, reflecting softer table-game trends and wage pressure despite steady slot performance.</w:t>
      </w:r>
    </w:p>
    <w:p>
      <w:pPr>
        <w:pStyle w:val="FirstParagraph"/>
      </w:pPr>
      <w:r>
        <w:t xml:space="preserve">The key read-through for Q2 is that the company did not need a uniformly strong quarter to produce consolidated growth. Wynn Palace and Las Vegas have enough earnings power to offset some volatility at Wynn Macau or Boston—but the market will likely demand evidence that the weaker segments are stabilizing.</w:t>
      </w:r>
    </w:p>
    <w:p>
      <w:r>
        <w:pict>
          <v:rect style="width:0;height:1.5pt" o:hralign="center" o:hrstd="t" o:hr="t"/>
        </w:pict>
      </w:r>
    </w:p>
    <w:bookmarkEnd w:id="10"/>
    <w:bookmarkStart w:id="11" w:name="what-matters-most-in-q2"/>
    <w:p>
      <w:pPr>
        <w:pStyle w:val="Heading2"/>
      </w:pPr>
      <w:r>
        <w:t xml:space="preserve">What matters most in Q2</w:t>
      </w:r>
    </w:p>
    <w:bookmarkEnd w:id="11"/>
    <w:bookmarkStart w:id="14" w:name="X7371f255b89106937e52eb46f82abdf47c679a4"/>
    <w:p>
      <w:pPr>
        <w:pStyle w:val="Heading2"/>
      </w:pPr>
      <w:r>
        <w:t xml:space="preserve">1. Macau: volume, share, reinvestment, and hold</w:t>
      </w:r>
    </w:p>
    <w:p>
      <w:pPr>
        <w:pStyle w:val="FirstParagraph"/>
      </w:pPr>
      <w:r>
        <w:t xml:space="preserve">Macau remains the largest driver of upside or downside to WYNN’s earnings power.</w:t>
      </w:r>
    </w:p>
    <w:p>
      <w:pPr>
        <w:pStyle w:val="BodyText"/>
      </w:pPr>
      <w:r>
        <w:t xml:space="preserve">Management exited Q1 with encouraging commentary: mass drop was running ahead of the prior year, and premium demand remained healthy. At Wynn Palace, Q1 mass-market table drop rose</w:t>
      </w:r>
      <w:r>
        <w:t xml:space="preserve"> </w:t>
      </w:r>
      <w:r>
        <w:rPr>
          <w:b/>
          <w:bCs/>
        </w:rPr>
        <w:t xml:space="preserve">16%</w:t>
      </w:r>
      <w:r>
        <w:t xml:space="preserve">, mass-table win rose</w:t>
      </w:r>
      <w:r>
        <w:t xml:space="preserve"> </w:t>
      </w:r>
      <w:r>
        <w:rPr>
          <w:b/>
          <w:bCs/>
        </w:rPr>
        <w:t xml:space="preserve">24%</w:t>
      </w:r>
      <w:r>
        <w:t xml:space="preserve">, and slot handle increased</w:t>
      </w:r>
      <w:r>
        <w:t xml:space="preserve"> </w:t>
      </w:r>
      <w:r>
        <w:rPr>
          <w:b/>
          <w:bCs/>
        </w:rPr>
        <w:t xml:space="preserve">17%</w:t>
      </w:r>
      <w:r>
        <w:t xml:space="preserve">. At Wynn Macau, mass-table drop rose</w:t>
      </w:r>
      <w:r>
        <w:t xml:space="preserve"> </w:t>
      </w:r>
      <w:r>
        <w:rPr>
          <w:b/>
          <w:bCs/>
        </w:rPr>
        <w:t xml:space="preserve">23%</w:t>
      </w:r>
      <w:r>
        <w:t xml:space="preserve">, while slot handle increased</w:t>
      </w:r>
      <w:r>
        <w:t xml:space="preserve"> </w:t>
      </w:r>
      <w:r>
        <w:rPr>
          <w:b/>
          <w:bCs/>
        </w:rPr>
        <w:t xml:space="preserve">45%</w:t>
      </w:r>
      <w:r>
        <w:t xml:space="preserve">.</w:t>
      </w:r>
    </w:p>
    <w:bookmarkStart w:id="12" w:name="what-investors-should-watch"/>
    <w:p>
      <w:pPr>
        <w:pStyle w:val="Heading3"/>
      </w:pPr>
      <w:r>
        <w:t xml:space="preserve">What investors should watch</w:t>
      </w:r>
    </w:p>
    <w:p>
      <w:pPr>
        <w:pStyle w:val="Compact"/>
        <w:numPr>
          <w:ilvl w:val="0"/>
          <w:numId w:val="1003"/>
        </w:numPr>
      </w:pPr>
      <w:r>
        <w:rPr>
          <w:b/>
          <w:bCs/>
        </w:rPr>
        <w:t xml:space="preserve">Premium-mass gaming volumes:</w:t>
      </w:r>
      <w:r>
        <w:t xml:space="preserve"> </w:t>
      </w:r>
      <w:r>
        <w:t xml:space="preserve">Continued growth would reinforce Wynn’s premium positioning and suggest the business is gaining or retaining high-value share.</w:t>
      </w:r>
    </w:p>
    <w:p>
      <w:pPr>
        <w:pStyle w:val="Compact"/>
        <w:numPr>
          <w:ilvl w:val="0"/>
          <w:numId w:val="1003"/>
        </w:numPr>
      </w:pPr>
      <w:r>
        <w:rPr>
          <w:b/>
          <w:bCs/>
        </w:rPr>
        <w:t xml:space="preserve">Gaming hold normalization:</w:t>
      </w:r>
      <w:r>
        <w:t xml:space="preserve"> </w:t>
      </w:r>
      <w:r>
        <w:t xml:space="preserve">Q1 included material noise. Wynn Palace benefited from favorable mass hold, while Wynn Macau was hurt by exceptionally low VIP hold and lower mass hold. Investors should separate volume trends from hold-driven swings.</w:t>
      </w:r>
    </w:p>
    <w:p>
      <w:pPr>
        <w:pStyle w:val="Compact"/>
        <w:numPr>
          <w:ilvl w:val="0"/>
          <w:numId w:val="1003"/>
        </w:numPr>
      </w:pPr>
      <w:r>
        <w:rPr>
          <w:b/>
          <w:bCs/>
        </w:rPr>
        <w:t xml:space="preserve">Promotional intensity:</w:t>
      </w:r>
      <w:r>
        <w:t xml:space="preserve"> </w:t>
      </w:r>
      <w:r>
        <w:t xml:space="preserve">Management said it remains disciplined on reinvestment. Any indication of rising promotions or customer-acquisition costs across Macau would matter for margins.</w:t>
      </w:r>
    </w:p>
    <w:p>
      <w:pPr>
        <w:pStyle w:val="Compact"/>
        <w:numPr>
          <w:ilvl w:val="0"/>
          <w:numId w:val="1003"/>
        </w:numPr>
      </w:pPr>
      <w:r>
        <w:rPr>
          <w:b/>
          <w:bCs/>
        </w:rPr>
        <w:t xml:space="preserve">Wynn Palace occupancy and rate:</w:t>
      </w:r>
      <w:r>
        <w:t xml:space="preserve"> </w:t>
      </w:r>
      <w:r>
        <w:t xml:space="preserve">The property operated at</w:t>
      </w:r>
      <w:r>
        <w:t xml:space="preserve"> </w:t>
      </w:r>
      <w:r>
        <w:rPr>
          <w:b/>
          <w:bCs/>
        </w:rPr>
        <w:t xml:space="preserve">99.1% occupancy</w:t>
      </w:r>
      <w:r>
        <w:t xml:space="preserve"> </w:t>
      </w:r>
      <w:r>
        <w:t xml:space="preserve">in Q1. Sustained near-full occupancy strengthens the rationale for the new Enclave expansion and supports continued premium demand.</w:t>
      </w:r>
    </w:p>
    <w:bookmarkEnd w:id="12"/>
    <w:bookmarkStart w:id="13" w:name="Xa28287dadba99ff3e10bc201c8a1e71dbdc641c"/>
    <w:p>
      <w:pPr>
        <w:pStyle w:val="Heading3"/>
      </w:pPr>
      <w:r>
        <w:t xml:space="preserve">Why the setup is favorable—but not risk-free</w:t>
      </w:r>
    </w:p>
    <w:p>
      <w:pPr>
        <w:pStyle w:val="FirstParagraph"/>
      </w:pPr>
      <w:r>
        <w:t xml:space="preserve">Wynn Palace is clearly the central Macau growth asset, but Q2 comparisons may be less forgiving if gaming hold reverts from Q1’s favorable level. Conversely, Wynn Macau has an easier earnings comparison if hold normalizes. A quarter with merely stable underlying demand could therefore produce a mixed reported result by property.</w:t>
      </w:r>
    </w:p>
    <w:p>
      <w:r>
        <w:pict>
          <v:rect style="width:0;height:1.5pt" o:hralign="center" o:hrstd="t" o:hr="t"/>
        </w:pict>
      </w:r>
    </w:p>
    <w:bookmarkEnd w:id="13"/>
    <w:bookmarkEnd w:id="14"/>
    <w:bookmarkStart w:id="16" w:name="X4d967ce8b858c340bd195d87f2b8749ab422bb5"/>
    <w:p>
      <w:pPr>
        <w:pStyle w:val="Heading2"/>
      </w:pPr>
      <w:r>
        <w:t xml:space="preserve">2. Las Vegas: luxury pricing remains the core domestic earnings lever</w:t>
      </w:r>
    </w:p>
    <w:p>
      <w:pPr>
        <w:pStyle w:val="FirstParagraph"/>
      </w:pPr>
      <w:r>
        <w:t xml:space="preserve">Las Vegas was a major positive in Q1. Revenue increased</w:t>
      </w:r>
      <w:r>
        <w:t xml:space="preserve"> </w:t>
      </w:r>
      <w:r>
        <w:rPr>
          <w:b/>
          <w:bCs/>
        </w:rPr>
        <w:t xml:space="preserve">6%</w:t>
      </w:r>
      <w:r>
        <w:t xml:space="preserve">, EBITDAR increased</w:t>
      </w:r>
      <w:r>
        <w:t xml:space="preserve"> </w:t>
      </w:r>
      <w:r>
        <w:rPr>
          <w:b/>
          <w:bCs/>
        </w:rPr>
        <w:t xml:space="preserve">4%</w:t>
      </w:r>
      <w:r>
        <w:t xml:space="preserve">, and RevPAR rose</w:t>
      </w:r>
      <w:r>
        <w:t xml:space="preserve"> </w:t>
      </w:r>
      <w:r>
        <w:rPr>
          <w:b/>
          <w:bCs/>
        </w:rPr>
        <w:t xml:space="preserve">10%</w:t>
      </w:r>
      <w:r>
        <w:t xml:space="preserve">, driven principally by a 12% gain in ADR.</w:t>
      </w:r>
    </w:p>
    <w:p>
      <w:pPr>
        <w:pStyle w:val="BodyText"/>
      </w:pPr>
      <w:r>
        <w:t xml:space="preserve">Management’s Q2 commentary in May was constructive:</w:t>
      </w:r>
    </w:p>
    <w:p>
      <w:pPr>
        <w:pStyle w:val="Compact"/>
        <w:numPr>
          <w:ilvl w:val="0"/>
          <w:numId w:val="1004"/>
        </w:numPr>
      </w:pPr>
      <w:r>
        <w:t xml:space="preserve">April ADR was up year over year.</w:t>
      </w:r>
    </w:p>
    <w:p>
      <w:pPr>
        <w:pStyle w:val="Compact"/>
        <w:numPr>
          <w:ilvl w:val="0"/>
          <w:numId w:val="1004"/>
        </w:numPr>
      </w:pPr>
      <w:r>
        <w:t xml:space="preserve">Gaming drop and handle were ahead of the prior year.</w:t>
      </w:r>
    </w:p>
    <w:p>
      <w:pPr>
        <w:pStyle w:val="Compact"/>
        <w:numPr>
          <w:ilvl w:val="0"/>
          <w:numId w:val="1004"/>
        </w:numPr>
      </w:pPr>
      <w:r>
        <w:t xml:space="preserve">Group business was expected to grow in both room nights and rate versus 2025.</w:t>
      </w:r>
    </w:p>
    <w:p>
      <w:pPr>
        <w:pStyle w:val="Compact"/>
        <w:numPr>
          <w:ilvl w:val="0"/>
          <w:numId w:val="1004"/>
        </w:numPr>
      </w:pPr>
      <w:r>
        <w:t xml:space="preserve">Luxury retail and gaming market-share trends remained favorable.</w:t>
      </w:r>
    </w:p>
    <w:p>
      <w:pPr>
        <w:pStyle w:val="FirstParagraph"/>
      </w:pPr>
      <w:r>
        <w:t xml:space="preserve">The complication is the</w:t>
      </w:r>
      <w:r>
        <w:t xml:space="preserve"> </w:t>
      </w:r>
      <w:r>
        <w:rPr>
          <w:b/>
          <w:bCs/>
        </w:rPr>
        <w:t xml:space="preserve">Encore Tower remodel</w:t>
      </w:r>
      <w:r>
        <w:t xml:space="preserve">, which began in Q2 and is expected to run for roughly 12 months. Management indicated that approximately six floors of inventory would be taken out at a time.</w:t>
      </w:r>
    </w:p>
    <w:bookmarkStart w:id="15" w:name="what-investors-should-watch-1"/>
    <w:p>
      <w:pPr>
        <w:pStyle w:val="Heading3"/>
      </w:pPr>
      <w:r>
        <w:t xml:space="preserve">What investors should watch</w:t>
      </w:r>
    </w:p>
    <w:p>
      <w:pPr>
        <w:pStyle w:val="Compact"/>
        <w:numPr>
          <w:ilvl w:val="0"/>
          <w:numId w:val="1005"/>
        </w:numPr>
      </w:pPr>
      <w:r>
        <w:rPr>
          <w:b/>
          <w:bCs/>
        </w:rPr>
        <w:t xml:space="preserve">ADR versus occupancy trade-off:</w:t>
      </w:r>
      <w:r>
        <w:t xml:space="preserve"> </w:t>
      </w:r>
      <w:r>
        <w:t xml:space="preserve">Wynn has emphasized maximizing EBITDAR—not simply pursuing the highest possible room rate. The relevant question is whether rate strength offsets temporarily lower available inventory.</w:t>
      </w:r>
    </w:p>
    <w:p>
      <w:pPr>
        <w:pStyle w:val="Compact"/>
        <w:numPr>
          <w:ilvl w:val="0"/>
          <w:numId w:val="1005"/>
        </w:numPr>
      </w:pPr>
      <w:r>
        <w:rPr>
          <w:b/>
          <w:bCs/>
        </w:rPr>
        <w:t xml:space="preserve">Room-remodel disruption:</w:t>
      </w:r>
      <w:r>
        <w:t xml:space="preserve"> </w:t>
      </w:r>
      <w:r>
        <w:t xml:space="preserve">Investors will want confirmation that the renovation is proceeding on schedule, without greater-than-expected revenue displacement or cost inflation.</w:t>
      </w:r>
    </w:p>
    <w:p>
      <w:pPr>
        <w:pStyle w:val="Compact"/>
        <w:numPr>
          <w:ilvl w:val="0"/>
          <w:numId w:val="1005"/>
        </w:numPr>
      </w:pPr>
      <w:r>
        <w:rPr>
          <w:b/>
          <w:bCs/>
        </w:rPr>
        <w:t xml:space="preserve">Gaming share:</w:t>
      </w:r>
      <w:r>
        <w:t xml:space="preserve"> </w:t>
      </w:r>
      <w:r>
        <w:t xml:space="preserve">Q1 table drop rose</w:t>
      </w:r>
      <w:r>
        <w:t xml:space="preserve"> </w:t>
      </w:r>
      <w:r>
        <w:rPr>
          <w:b/>
          <w:bCs/>
        </w:rPr>
        <w:t xml:space="preserve">16%</w:t>
      </w:r>
      <w:r>
        <w:t xml:space="preserve"> </w:t>
      </w:r>
      <w:r>
        <w:t xml:space="preserve">and casino revenue rose</w:t>
      </w:r>
      <w:r>
        <w:t xml:space="preserve"> </w:t>
      </w:r>
      <w:r>
        <w:rPr>
          <w:b/>
          <w:bCs/>
        </w:rPr>
        <w:t xml:space="preserve">11%</w:t>
      </w:r>
      <w:r>
        <w:t xml:space="preserve">. Continued share gains would be more meaningful than broad Las Vegas visitation data because Wynn’s customer mix skews toward the high end.</w:t>
      </w:r>
    </w:p>
    <w:p>
      <w:pPr>
        <w:pStyle w:val="Compact"/>
        <w:numPr>
          <w:ilvl w:val="0"/>
          <w:numId w:val="1005"/>
        </w:numPr>
      </w:pPr>
      <w:r>
        <w:rPr>
          <w:b/>
          <w:bCs/>
        </w:rPr>
        <w:t xml:space="preserve">Operating expenses:</w:t>
      </w:r>
      <w:r>
        <w:t xml:space="preserve"> </w:t>
      </w:r>
      <w:r>
        <w:t xml:space="preserve">Las Vegas operating expenses were elevated in Q1 due to wage increases, new venues, and some food-cost pressure. Margin conversion is likely to be a focal point even if revenue remains strong.</w:t>
      </w:r>
    </w:p>
    <w:p>
      <w:pPr>
        <w:pStyle w:val="FirstParagraph"/>
      </w:pPr>
      <w:r>
        <w:t xml:space="preserve">The Las Vegas thesis is increasingly about the durability of Wynn’s luxury positioning rather than a broad recovery in the citywide market.</w:t>
      </w:r>
    </w:p>
    <w:p>
      <w:r>
        <w:pict>
          <v:rect style="width:0;height:1.5pt" o:hralign="center" o:hrstd="t" o:hr="t"/>
        </w:pict>
      </w:r>
    </w:p>
    <w:bookmarkEnd w:id="15"/>
    <w:bookmarkEnd w:id="16"/>
    <w:bookmarkStart w:id="17" w:name="X5e44df5ef61065afe86600164b90e8adb04236e"/>
    <w:p>
      <w:pPr>
        <w:pStyle w:val="Heading2"/>
      </w:pPr>
      <w:r>
        <w:t xml:space="preserve">3. Boston: look for stabilization, not necessarily a breakout</w:t>
      </w:r>
    </w:p>
    <w:p>
      <w:pPr>
        <w:pStyle w:val="FirstParagraph"/>
      </w:pPr>
      <w:r>
        <w:t xml:space="preserve">Encore Boston Harbor has become the relative weak point in the portfolio. Q1 revenue declined</w:t>
      </w:r>
      <w:r>
        <w:t xml:space="preserve"> </w:t>
      </w:r>
      <w:r>
        <w:rPr>
          <w:b/>
          <w:bCs/>
        </w:rPr>
        <w:t xml:space="preserve">2%</w:t>
      </w:r>
      <w:r>
        <w:t xml:space="preserve"> </w:t>
      </w:r>
      <w:r>
        <w:t xml:space="preserve">and EBITDAR declined</w:t>
      </w:r>
      <w:r>
        <w:t xml:space="preserve"> </w:t>
      </w:r>
      <w:r>
        <w:rPr>
          <w:b/>
          <w:bCs/>
        </w:rPr>
        <w:t xml:space="preserve">12%</w:t>
      </w:r>
      <w:r>
        <w:t xml:space="preserve">, with wage pressure and regional gaming competition weighing on performance.</w:t>
      </w:r>
    </w:p>
    <w:p>
      <w:pPr>
        <w:pStyle w:val="BodyText"/>
      </w:pPr>
      <w:r>
        <w:t xml:space="preserve">Still, management said Q2 had begun steadily, with drop and handle running ahead of last year.</w:t>
      </w:r>
    </w:p>
    <w:p>
      <w:pPr>
        <w:pStyle w:val="BodyText"/>
      </w:pPr>
      <w:r>
        <w:t xml:space="preserve">For Q2, the bar is relatively simple:</w:t>
      </w:r>
    </w:p>
    <w:p>
      <w:pPr>
        <w:pStyle w:val="Compact"/>
        <w:numPr>
          <w:ilvl w:val="0"/>
          <w:numId w:val="1006"/>
        </w:numPr>
      </w:pPr>
      <w:r>
        <w:t xml:space="preserve">A return to positive revenue or EBITDAR growth would be constructive.</w:t>
      </w:r>
    </w:p>
    <w:p>
      <w:pPr>
        <w:pStyle w:val="Compact"/>
        <w:numPr>
          <w:ilvl w:val="0"/>
          <w:numId w:val="1006"/>
        </w:numPr>
      </w:pPr>
      <w:r>
        <w:t xml:space="preserve">Continued margin erosion, despite improving gaming volumes, would be a negative signal on labor costs and competitive intensity.</w:t>
      </w:r>
    </w:p>
    <w:p>
      <w:pPr>
        <w:pStyle w:val="Compact"/>
        <w:numPr>
          <w:ilvl w:val="0"/>
          <w:numId w:val="1006"/>
        </w:numPr>
      </w:pPr>
      <w:r>
        <w:t xml:space="preserve">Investors should particularly watch slot revenue, table-game hold, and any commentary on New Hampshire competition.</w:t>
      </w:r>
    </w:p>
    <w:p>
      <w:pPr>
        <w:pStyle w:val="FirstParagraph"/>
      </w:pPr>
      <w:r>
        <w:t xml:space="preserve">Boston is not likely to determine the overall earnings reaction, but a stabilization would remove a key offset to strength elsewhere.</w:t>
      </w:r>
    </w:p>
    <w:p>
      <w:r>
        <w:pict>
          <v:rect style="width:0;height:1.5pt" o:hralign="center" o:hrstd="t" o:hr="t"/>
        </w:pict>
      </w:r>
    </w:p>
    <w:bookmarkEnd w:id="17"/>
    <w:bookmarkStart w:id="19" w:name="X04b622244c6685e63db02e39ea6c0bca4d98c60"/>
    <w:p>
      <w:pPr>
        <w:pStyle w:val="Heading2"/>
      </w:pPr>
      <w:r>
        <w:t xml:space="preserve">4. Al Marjan: the most important non-quarterly catalyst</w:t>
      </w:r>
    </w:p>
    <w:p>
      <w:pPr>
        <w:pStyle w:val="FirstParagraph"/>
      </w:pPr>
      <w:r>
        <w:t xml:space="preserve">The UAE project remains Wynn’s major long-duration growth opportunity—and its largest source of uncertainty.</w:t>
      </w:r>
    </w:p>
    <w:p>
      <w:pPr>
        <w:pStyle w:val="BodyText"/>
      </w:pPr>
      <w:r>
        <w:t xml:space="preserve">At Q1, Wynn said:</w:t>
      </w:r>
    </w:p>
    <w:p>
      <w:pPr>
        <w:pStyle w:val="Compact"/>
        <w:numPr>
          <w:ilvl w:val="0"/>
          <w:numId w:val="1007"/>
        </w:numPr>
      </w:pPr>
      <w:r>
        <w:t xml:space="preserve">Construction was continuing despite logistics challenges in the region.</w:t>
      </w:r>
    </w:p>
    <w:p>
      <w:pPr>
        <w:pStyle w:val="Compact"/>
        <w:numPr>
          <w:ilvl w:val="0"/>
          <w:numId w:val="1007"/>
        </w:numPr>
      </w:pPr>
      <w:r>
        <w:t xml:space="preserve">The opening would face a</w:t>
      </w:r>
      <w:r>
        <w:t xml:space="preserve"> </w:t>
      </w:r>
      <w:r>
        <w:rPr>
          <w:b/>
          <w:bCs/>
        </w:rPr>
        <w:t xml:space="preserve">“modest delay”</w:t>
      </w:r>
      <w:r>
        <w:t xml:space="preserve"> </w:t>
      </w:r>
      <w:r>
        <w:t xml:space="preserve">from the prior timetable, though management did not quantify it.</w:t>
      </w:r>
    </w:p>
    <w:p>
      <w:pPr>
        <w:pStyle w:val="Compact"/>
        <w:numPr>
          <w:ilvl w:val="0"/>
          <w:numId w:val="1007"/>
        </w:numPr>
      </w:pPr>
      <w:r>
        <w:t xml:space="preserve">The company still expected an opening in</w:t>
      </w:r>
      <w:r>
        <w:t xml:space="preserve"> </w:t>
      </w:r>
      <w:r>
        <w:rPr>
          <w:b/>
          <w:bCs/>
        </w:rPr>
        <w:t xml:space="preserve">2027</w:t>
      </w:r>
      <w:r>
        <w:t xml:space="preserve">.</w:t>
      </w:r>
    </w:p>
    <w:p>
      <w:pPr>
        <w:pStyle w:val="Compact"/>
        <w:numPr>
          <w:ilvl w:val="0"/>
          <w:numId w:val="1007"/>
        </w:numPr>
      </w:pPr>
      <w:r>
        <w:t xml:space="preserve">Wynn had contributed</w:t>
      </w:r>
      <w:r>
        <w:t xml:space="preserve"> </w:t>
      </w:r>
      <w:r>
        <w:rPr>
          <w:b/>
          <w:bCs/>
        </w:rPr>
        <w:t xml:space="preserve">$1.01B</w:t>
      </w:r>
      <w:r>
        <w:t xml:space="preserve"> </w:t>
      </w:r>
      <w:r>
        <w:t xml:space="preserve">to the project through Q1.</w:t>
      </w:r>
    </w:p>
    <w:p>
      <w:pPr>
        <w:pStyle w:val="Compact"/>
        <w:numPr>
          <w:ilvl w:val="0"/>
          <w:numId w:val="1007"/>
        </w:numPr>
      </w:pPr>
      <w:r>
        <w:t xml:space="preserve">Its remaining equity contribution, including the adjacent Janu development, was estimated at</w:t>
      </w:r>
      <w:r>
        <w:t xml:space="preserve"> </w:t>
      </w:r>
      <m:oMath>
        <m:r>
          <m:t>350</m:t>
        </m:r>
        <m:r>
          <m:t>M</m:t>
        </m:r>
        <m:r>
          <m:rPr>
            <m:sty m:val="p"/>
          </m:rPr>
          <m:t>–</m:t>
        </m:r>
      </m:oMath>
      <w:r>
        <w:rPr>
          <w:b/>
          <w:bCs/>
        </w:rPr>
        <w:t xml:space="preserve">450M</w:t>
      </w:r>
      <w:r>
        <w:t xml:space="preserve">.</w:t>
      </w:r>
    </w:p>
    <w:p>
      <w:pPr>
        <w:pStyle w:val="Compact"/>
        <w:numPr>
          <w:ilvl w:val="0"/>
          <w:numId w:val="1007"/>
        </w:numPr>
      </w:pPr>
      <w:r>
        <w:t xml:space="preserve">The joint venture had drawn roughly</w:t>
      </w:r>
      <w:r>
        <w:t xml:space="preserve"> </w:t>
      </w:r>
      <w:r>
        <w:rPr>
          <w:b/>
          <w:bCs/>
        </w:rPr>
        <w:t xml:space="preserve">$962M</w:t>
      </w:r>
      <w:r>
        <w:t xml:space="preserve"> </w:t>
      </w:r>
      <w:r>
        <w:t xml:space="preserve">on its construction loan as of Q1.</w:t>
      </w:r>
    </w:p>
    <w:bookmarkStart w:id="18" w:name="what-investors-need-from-this-report"/>
    <w:p>
      <w:pPr>
        <w:pStyle w:val="Heading3"/>
      </w:pPr>
      <w:r>
        <w:t xml:space="preserve">What investors need from this report</w:t>
      </w:r>
    </w:p>
    <w:p>
      <w:pPr>
        <w:pStyle w:val="FirstParagraph"/>
      </w:pPr>
      <w:r>
        <w:t xml:space="preserve">The most valuable update would be a clearer answer on:</w:t>
      </w:r>
    </w:p>
    <w:p>
      <w:pPr>
        <w:pStyle w:val="Compact"/>
        <w:numPr>
          <w:ilvl w:val="0"/>
          <w:numId w:val="1008"/>
        </w:numPr>
      </w:pPr>
      <w:r>
        <w:rPr>
          <w:b/>
          <w:bCs/>
        </w:rPr>
        <w:t xml:space="preserve">Opening timing:</w:t>
      </w:r>
      <w:r>
        <w:t xml:space="preserve"> </w:t>
      </w:r>
      <w:r>
        <w:t xml:space="preserve">Is the project still expected to open in 2027, and what does “modest delay” mean in months?</w:t>
      </w:r>
    </w:p>
    <w:p>
      <w:pPr>
        <w:pStyle w:val="Compact"/>
        <w:numPr>
          <w:ilvl w:val="0"/>
          <w:numId w:val="1008"/>
        </w:numPr>
      </w:pPr>
      <w:r>
        <w:rPr>
          <w:b/>
          <w:bCs/>
        </w:rPr>
        <w:t xml:space="preserve">Budget:</w:t>
      </w:r>
      <w:r>
        <w:t xml:space="preserve"> </w:t>
      </w:r>
      <w:r>
        <w:t xml:space="preserve">Have shipping, labor, pre-opening, or supply-chain costs changed the expected equity requirement?</w:t>
      </w:r>
    </w:p>
    <w:p>
      <w:pPr>
        <w:pStyle w:val="Compact"/>
        <w:numPr>
          <w:ilvl w:val="0"/>
          <w:numId w:val="1008"/>
        </w:numPr>
      </w:pPr>
      <w:r>
        <w:rPr>
          <w:b/>
          <w:bCs/>
        </w:rPr>
        <w:t xml:space="preserve">Construction milestones:</w:t>
      </w:r>
      <w:r>
        <w:t xml:space="preserve"> </w:t>
      </w:r>
      <w:r>
        <w:t xml:space="preserve">Is the project progressing as planned physically, and have sourcing alternatives solved logistics issues?</w:t>
      </w:r>
    </w:p>
    <w:p>
      <w:pPr>
        <w:pStyle w:val="Compact"/>
        <w:numPr>
          <w:ilvl w:val="0"/>
          <w:numId w:val="1008"/>
        </w:numPr>
      </w:pPr>
      <w:r>
        <w:rPr>
          <w:b/>
          <w:bCs/>
        </w:rPr>
        <w:t xml:space="preserve">Demand ramp:</w:t>
      </w:r>
      <w:r>
        <w:t xml:space="preserve"> </w:t>
      </w:r>
      <w:r>
        <w:t xml:space="preserve">Has management’s view of gaming and non-gaming ramp assumptions changed?</w:t>
      </w:r>
    </w:p>
    <w:p>
      <w:pPr>
        <w:pStyle w:val="FirstParagraph"/>
      </w:pPr>
      <w:r>
        <w:t xml:space="preserve">A confirmation that the delay is contained, the budget remains manageable, and the 2027 opening remains credible would likely be treated favorably. A further delay or a material increase in equity needs would probably dominate a strong operating quarter.</w:t>
      </w:r>
    </w:p>
    <w:p>
      <w:r>
        <w:pict>
          <v:rect style="width:0;height:1.5pt" o:hralign="center" o:hrstd="t" o:hr="t"/>
        </w:pict>
      </w:r>
    </w:p>
    <w:bookmarkEnd w:id="18"/>
    <w:bookmarkEnd w:id="19"/>
    <w:bookmarkStart w:id="20" w:name="Xc17c96ada583f65469f86d87c81dafd8d0f5711"/>
    <w:p>
      <w:pPr>
        <w:pStyle w:val="Heading2"/>
      </w:pPr>
      <w:r>
        <w:t xml:space="preserve">5. Macau expansion: Enclave is strategically attractive, but adds capital demands</w:t>
      </w:r>
    </w:p>
    <w:p>
      <w:pPr>
        <w:pStyle w:val="FirstParagraph"/>
      </w:pPr>
      <w:r>
        <w:t xml:space="preserve">In May, Wynn announced</w:t>
      </w:r>
      <w:r>
        <w:t xml:space="preserve"> </w:t>
      </w:r>
      <w:r>
        <w:rPr>
          <w:b/>
          <w:bCs/>
        </w:rPr>
        <w:t xml:space="preserve">The Enclave at Wynn Palace</w:t>
      </w:r>
      <w:r>
        <w:t xml:space="preserve">, a planned 432-suite expansion adjacent to Wynn Palace. Management estimated a</w:t>
      </w:r>
      <w:r>
        <w:t xml:space="preserve"> </w:t>
      </w:r>
      <m:oMath>
        <m:r>
          <m:t>900</m:t>
        </m:r>
        <m:r>
          <m:t>M</m:t>
        </m:r>
        <m:r>
          <m:rPr>
            <m:sty m:val="p"/>
          </m:rPr>
          <m:t>–</m:t>
        </m:r>
      </m:oMath>
      <w:r>
        <w:rPr>
          <w:b/>
          <w:bCs/>
        </w:rPr>
        <w:t xml:space="preserve">950M</w:t>
      </w:r>
      <w:r>
        <w:t xml:space="preserve"> </w:t>
      </w:r>
      <w:r>
        <w:t xml:space="preserve">investment and suggested the project could generate roughly</w:t>
      </w:r>
      <w:r>
        <w:t xml:space="preserve"> </w:t>
      </w:r>
      <m:oMath>
        <m:r>
          <m:t>150</m:t>
        </m:r>
        <m:r>
          <m:t>M</m:t>
        </m:r>
        <m:r>
          <m:rPr>
            <m:sty m:val="p"/>
          </m:rPr>
          <m:t>–</m:t>
        </m:r>
      </m:oMath>
      <w:r>
        <w:rPr>
          <w:b/>
          <w:bCs/>
        </w:rPr>
        <w:t xml:space="preserve">175M of incremental EBITDA</w:t>
      </w:r>
      <w:r>
        <w:t xml:space="preserve"> </w:t>
      </w:r>
      <w:r>
        <w:t xml:space="preserve">once mature, based on incremental premium-customer demand and high flow-through to existing casino and F&amp;B infrastructure.</w:t>
      </w:r>
    </w:p>
    <w:p>
      <w:pPr>
        <w:pStyle w:val="BodyText"/>
      </w:pPr>
      <w:r>
        <w:t xml:space="preserve">On</w:t>
      </w:r>
      <w:r>
        <w:t xml:space="preserve"> </w:t>
      </w:r>
      <w:r>
        <w:rPr>
          <w:b/>
          <w:bCs/>
        </w:rPr>
        <w:t xml:space="preserve">July 22</w:t>
      </w:r>
      <w:r>
        <w:t xml:space="preserve">, the Macau government amended the Cotai land concession to permit Wynn Palace’s expansion with a new five-star hotel, theatre, and entertainment center. The concession provides up to</w:t>
      </w:r>
      <w:r>
        <w:t xml:space="preserve"> </w:t>
      </w:r>
      <w:r>
        <w:rPr>
          <w:b/>
          <w:bCs/>
        </w:rPr>
        <w:t xml:space="preserve">60 months</w:t>
      </w:r>
      <w:r>
        <w:t xml:space="preserve"> </w:t>
      </w:r>
      <w:r>
        <w:t xml:space="preserve">to complete the project. Wynn Macau also disclosed an approximately</w:t>
      </w:r>
      <w:r>
        <w:t xml:space="preserve"> </w:t>
      </w:r>
      <w:r>
        <w:rPr>
          <w:b/>
          <w:bCs/>
        </w:rPr>
        <w:t xml:space="preserve">$80.8M</w:t>
      </w:r>
      <w:r>
        <w:t xml:space="preserve"> </w:t>
      </w:r>
      <w:r>
        <w:t xml:space="preserve">one-time additional land premium.</w:t>
      </w:r>
    </w:p>
    <w:p>
      <w:pPr>
        <w:pStyle w:val="BodyText"/>
      </w:pPr>
      <w:r>
        <w:t xml:space="preserve">The strategic logic is straightforward: Wynn Palace was effectively full in Q1, and the project adds premium room inventory without requiring a wholly separate resort platform. The near-term trade-off is capital intensity.</w:t>
      </w:r>
    </w:p>
    <w:p>
      <w:pPr>
        <w:pStyle w:val="BodyText"/>
      </w:pPr>
      <w:r>
        <w:t xml:space="preserve">Investors should listen for:</w:t>
      </w:r>
    </w:p>
    <w:p>
      <w:pPr>
        <w:pStyle w:val="Compact"/>
        <w:numPr>
          <w:ilvl w:val="0"/>
          <w:numId w:val="1009"/>
        </w:numPr>
      </w:pPr>
      <w:r>
        <w:t xml:space="preserve">Initial construction timing and 2026 spend;</w:t>
      </w:r>
    </w:p>
    <w:p>
      <w:pPr>
        <w:pStyle w:val="Compact"/>
        <w:numPr>
          <w:ilvl w:val="0"/>
          <w:numId w:val="1009"/>
        </w:numPr>
      </w:pPr>
      <w:r>
        <w:t xml:space="preserve">Whether the prior</w:t>
      </w:r>
      <w:r>
        <w:t xml:space="preserve"> </w:t>
      </w:r>
      <m:oMath>
        <m:r>
          <m:t>400</m:t>
        </m:r>
        <m:r>
          <m:t>M</m:t>
        </m:r>
        <m:r>
          <m:rPr>
            <m:sty m:val="p"/>
          </m:rPr>
          <m:t>–</m:t>
        </m:r>
      </m:oMath>
      <w:r>
        <w:rPr>
          <w:b/>
          <w:bCs/>
        </w:rPr>
        <w:t xml:space="preserve">450M</w:t>
      </w:r>
      <w:r>
        <w:t xml:space="preserve"> </w:t>
      </w:r>
      <w:r>
        <w:t xml:space="preserve">2026 Macau expansionary-capex outlook is unchanged;</w:t>
      </w:r>
    </w:p>
    <w:p>
      <w:pPr>
        <w:pStyle w:val="Compact"/>
        <w:numPr>
          <w:ilvl w:val="0"/>
          <w:numId w:val="1009"/>
        </w:numPr>
      </w:pPr>
      <w:r>
        <w:t xml:space="preserve">Expected completion date;</w:t>
      </w:r>
    </w:p>
    <w:p>
      <w:pPr>
        <w:pStyle w:val="Compact"/>
        <w:numPr>
          <w:ilvl w:val="0"/>
          <w:numId w:val="1009"/>
        </w:numPr>
      </w:pPr>
      <w:r>
        <w:t xml:space="preserve">Whether the theater/event concept has evolved beyond the original hotel-led framing.</w:t>
      </w:r>
    </w:p>
    <w:p>
      <w:r>
        <w:pict>
          <v:rect style="width:0;height:1.5pt" o:hralign="center" o:hrstd="t" o:hr="t"/>
        </w:pict>
      </w:r>
    </w:p>
    <w:bookmarkEnd w:id="20"/>
    <w:bookmarkStart w:id="21" w:name="X3ba327f2c4b094fa6649aa123cb8ddf39458d24"/>
    <w:p>
      <w:pPr>
        <w:pStyle w:val="Heading2"/>
      </w:pPr>
      <w:r>
        <w:t xml:space="preserve">Capital allocation and balance sheet: adequate liquidity, but no longer a low-capex story</w:t>
      </w:r>
    </w:p>
    <w:p>
      <w:pPr>
        <w:pStyle w:val="FirstParagraph"/>
      </w:pPr>
      <w:r>
        <w:t xml:space="preserve">Wynn ended Q1 with substantial liquidity:</w:t>
      </w:r>
    </w:p>
    <w:p>
      <w:pPr>
        <w:pStyle w:val="Compact"/>
        <w:numPr>
          <w:ilvl w:val="0"/>
          <w:numId w:val="1010"/>
        </w:numPr>
      </w:pPr>
      <m:oMath>
        <m:r>
          <m:t>1.19</m:t>
        </m:r>
        <m:r>
          <m:t>B</m:t>
        </m:r>
        <m:r>
          <m:rPr>
            <m:sty m:val="p"/>
          </m:rPr>
          <m:t>*</m:t>
        </m:r>
        <m:r>
          <m:rPr>
            <m:sty m:val="p"/>
          </m:rPr>
          <m:t>*</m:t>
        </m:r>
        <m:r>
          <m:t>o</m:t>
        </m:r>
        <m:r>
          <m:t>f</m:t>
        </m:r>
        <m:r>
          <m:t>c</m:t>
        </m:r>
        <m:r>
          <m:t>a</m:t>
        </m:r>
        <m:r>
          <m:t>s</m:t>
        </m:r>
        <m:r>
          <m:t>h</m:t>
        </m:r>
        <m:r>
          <m:t>a</m:t>
        </m:r>
        <m:r>
          <m:t>n</m:t>
        </m:r>
        <m:r>
          <m:t>d</m:t>
        </m:r>
        <m:r>
          <m:t>e</m:t>
        </m:r>
        <m:r>
          <m:t>q</m:t>
        </m:r>
        <m:r>
          <m:t>u</m:t>
        </m:r>
        <m:r>
          <m:t>i</m:t>
        </m:r>
        <m:r>
          <m:t>v</m:t>
        </m:r>
        <m:r>
          <m:t>a</m:t>
        </m:r>
        <m:r>
          <m:t>l</m:t>
        </m:r>
        <m:r>
          <m:t>e</m:t>
        </m:r>
        <m:r>
          <m:t>n</m:t>
        </m:r>
        <m:r>
          <m:t>t</m:t>
        </m:r>
        <m:r>
          <m:t>s</m:t>
        </m:r>
        <m:r>
          <m:rPr>
            <m:sty m:val="p"/>
          </m:rPr>
          <m:t>,</m:t>
        </m:r>
        <m:r>
          <m:t>e</m:t>
        </m:r>
        <m:r>
          <m:t>x</m:t>
        </m:r>
        <m:r>
          <m:t>c</m:t>
        </m:r>
        <m:r>
          <m:t>l</m:t>
        </m:r>
        <m:r>
          <m:t>u</m:t>
        </m:r>
        <m:r>
          <m:t>d</m:t>
        </m:r>
        <m:r>
          <m:t>i</m:t>
        </m:r>
        <m:r>
          <m:t>n</m:t>
        </m:r>
        <m:r>
          <m:t>g</m:t>
        </m:r>
        <m:r>
          <m:rPr>
            <m:sty m:val="p"/>
          </m:rPr>
          <m:t>*</m:t>
        </m:r>
        <m:r>
          <m:rPr>
            <m:sty m:val="p"/>
          </m:rPr>
          <m:t>*</m:t>
        </m:r>
      </m:oMath>
      <w:r>
        <w:rPr>
          <w:b/>
          <w:bCs/>
        </w:rPr>
        <w:t xml:space="preserve">607.6M</w:t>
      </w:r>
      <w:r>
        <w:t xml:space="preserve"> </w:t>
      </w:r>
      <w:r>
        <w:t xml:space="preserve">of short-term investments at Wynn Macau;</w:t>
      </w:r>
    </w:p>
    <w:p>
      <w:pPr>
        <w:pStyle w:val="Compact"/>
        <w:numPr>
          <w:ilvl w:val="0"/>
          <w:numId w:val="1010"/>
        </w:numPr>
      </w:pPr>
      <w:r>
        <w:t xml:space="preserve">Combined available revolver capacity of roughly</w:t>
      </w:r>
      <w:r>
        <w:t xml:space="preserve"> </w:t>
      </w:r>
      <w:r>
        <w:rPr>
          <w:b/>
          <w:bCs/>
        </w:rPr>
        <w:t xml:space="preserve">$2.59B</w:t>
      </w:r>
      <w:r>
        <w:t xml:space="preserve">;</w:t>
      </w:r>
    </w:p>
    <w:p>
      <w:pPr>
        <w:pStyle w:val="Compact"/>
        <w:numPr>
          <w:ilvl w:val="0"/>
          <w:numId w:val="1010"/>
        </w:numPr>
      </w:pPr>
      <w:r>
        <w:t xml:space="preserve">Management-cited global cash plus revolver liquidity of</w:t>
      </w:r>
      <w:r>
        <w:t xml:space="preserve"> </w:t>
      </w:r>
      <w:r>
        <w:rPr>
          <w:b/>
          <w:bCs/>
        </w:rPr>
        <w:t xml:space="preserve">$4.4B</w:t>
      </w:r>
      <w:r>
        <w:t xml:space="preserve">;</w:t>
      </w:r>
    </w:p>
    <w:p>
      <w:pPr>
        <w:pStyle w:val="Compact"/>
        <w:numPr>
          <w:ilvl w:val="0"/>
          <w:numId w:val="1010"/>
        </w:numPr>
      </w:pPr>
      <w:r>
        <w:t xml:space="preserve">Total debt of approximately</w:t>
      </w:r>
      <w:r>
        <w:t xml:space="preserve"> </w:t>
      </w:r>
      <w:r>
        <w:rPr>
          <w:b/>
          <w:bCs/>
        </w:rPr>
        <w:t xml:space="preserve">$10.52B</w:t>
      </w:r>
      <w:r>
        <w:t xml:space="preserve">;</w:t>
      </w:r>
    </w:p>
    <w:p>
      <w:pPr>
        <w:pStyle w:val="Compact"/>
        <w:numPr>
          <w:ilvl w:val="0"/>
          <w:numId w:val="1010"/>
        </w:numPr>
      </w:pPr>
      <w:r>
        <w:t xml:space="preserve">Consolidated net leverage of just over</w:t>
      </w:r>
      <w:r>
        <w:t xml:space="preserve"> </w:t>
      </w:r>
      <w:r>
        <w:rPr>
          <w:b/>
          <w:bCs/>
        </w:rPr>
        <w:t xml:space="preserve">4.4x</w:t>
      </w:r>
      <w:r>
        <w:t xml:space="preserve"> </w:t>
      </w:r>
      <w:r>
        <w:t xml:space="preserve">on management’s measure.</w:t>
      </w:r>
    </w:p>
    <w:p>
      <w:pPr>
        <w:pStyle w:val="FirstParagraph"/>
      </w:pPr>
      <w:r>
        <w:t xml:space="preserve">The company also continued shareholder returns:</w:t>
      </w:r>
    </w:p>
    <w:p>
      <w:pPr>
        <w:pStyle w:val="Compact"/>
        <w:numPr>
          <w:ilvl w:val="0"/>
          <w:numId w:val="1011"/>
        </w:numPr>
      </w:pPr>
      <w:r>
        <w:rPr>
          <w:b/>
          <w:bCs/>
        </w:rPr>
        <w:t xml:space="preserve">$53.8M</w:t>
      </w:r>
      <w:r>
        <w:t xml:space="preserve"> </w:t>
      </w:r>
      <w:r>
        <w:t xml:space="preserve">of Q1 share repurchases;</w:t>
      </w:r>
    </w:p>
    <w:p>
      <w:pPr>
        <w:pStyle w:val="Compact"/>
        <w:numPr>
          <w:ilvl w:val="0"/>
          <w:numId w:val="1011"/>
        </w:numPr>
      </w:pPr>
      <w:r>
        <w:t xml:space="preserve">An additional</w:t>
      </w:r>
      <w:r>
        <w:t xml:space="preserve"> </w:t>
      </w:r>
      <w:r>
        <w:rPr>
          <w:b/>
          <w:bCs/>
        </w:rPr>
        <w:t xml:space="preserve">$30.6M</w:t>
      </w:r>
      <w:r>
        <w:t xml:space="preserve"> </w:t>
      </w:r>
      <w:r>
        <w:t xml:space="preserve">repurchased early in Q2, according to the May call;</w:t>
      </w:r>
    </w:p>
    <w:p>
      <w:pPr>
        <w:pStyle w:val="Compact"/>
        <w:numPr>
          <w:ilvl w:val="0"/>
          <w:numId w:val="1011"/>
        </w:numPr>
      </w:pPr>
      <w:r>
        <w:t xml:space="preserve">A regular quarterly dividend of</w:t>
      </w:r>
      <w:r>
        <w:t xml:space="preserve"> </w:t>
      </w:r>
      <w:r>
        <w:rPr>
          <w:b/>
          <w:bCs/>
        </w:rPr>
        <w:t xml:space="preserve">$0.25 per share</w:t>
      </w:r>
      <w:r>
        <w:t xml:space="preserve">.</w:t>
      </w:r>
    </w:p>
    <w:p>
      <w:pPr>
        <w:pStyle w:val="FirstParagraph"/>
      </w:pPr>
      <w:r>
        <w:t xml:space="preserve">The issue is not immediate liquidity. It is the competing use of cash across:</w:t>
      </w:r>
    </w:p>
    <w:p>
      <w:pPr>
        <w:pStyle w:val="Compact"/>
        <w:numPr>
          <w:ilvl w:val="0"/>
          <w:numId w:val="1012"/>
        </w:numPr>
      </w:pPr>
      <w:r>
        <w:t xml:space="preserve">Al Marjan construction;</w:t>
      </w:r>
    </w:p>
    <w:p>
      <w:pPr>
        <w:pStyle w:val="Compact"/>
        <w:numPr>
          <w:ilvl w:val="0"/>
          <w:numId w:val="1012"/>
        </w:numPr>
      </w:pPr>
      <w:r>
        <w:t xml:space="preserve">Macau expansion projects;</w:t>
      </w:r>
    </w:p>
    <w:p>
      <w:pPr>
        <w:pStyle w:val="Compact"/>
        <w:numPr>
          <w:ilvl w:val="0"/>
          <w:numId w:val="1012"/>
        </w:numPr>
      </w:pPr>
      <w:r>
        <w:t xml:space="preserve">Las Vegas renovation spending;</w:t>
      </w:r>
    </w:p>
    <w:p>
      <w:pPr>
        <w:pStyle w:val="Compact"/>
        <w:numPr>
          <w:ilvl w:val="0"/>
          <w:numId w:val="1012"/>
        </w:numPr>
      </w:pPr>
      <w:r>
        <w:t xml:space="preserve">Debt service and future refinancing;</w:t>
      </w:r>
    </w:p>
    <w:p>
      <w:pPr>
        <w:pStyle w:val="Compact"/>
        <w:numPr>
          <w:ilvl w:val="0"/>
          <w:numId w:val="1012"/>
        </w:numPr>
      </w:pPr>
      <w:r>
        <w:t xml:space="preserve">Dividends and repurchases.</w:t>
      </w:r>
    </w:p>
    <w:p>
      <w:pPr>
        <w:pStyle w:val="FirstParagraph"/>
      </w:pPr>
      <w:r>
        <w:t xml:space="preserve">The most constructive outcome would be management maintaining shareholder returns while reaffirming project costs and demonstrating that operating cash flow is covering the higher investment cycle.</w:t>
      </w:r>
    </w:p>
    <w:p>
      <w:r>
        <w:pict>
          <v:rect style="width:0;height:1.5pt" o:hralign="center" o:hrstd="t" o:hr="t"/>
        </w:pict>
      </w:r>
    </w:p>
    <w:bookmarkEnd w:id="21"/>
    <w:bookmarkStart w:id="22" w:name="key-questions-for-the-earnings-call"/>
    <w:p>
      <w:pPr>
        <w:pStyle w:val="Heading2"/>
      </w:pPr>
      <w:r>
        <w:t xml:space="preserve">Key questions for the earnings call</w:t>
      </w:r>
    </w:p>
    <w:p>
      <w:pPr>
        <w:pStyle w:val="Compact"/>
        <w:numPr>
          <w:ilvl w:val="0"/>
          <w:numId w:val="1013"/>
        </w:numPr>
      </w:pPr>
      <w:r>
        <w:rPr>
          <w:b/>
          <w:bCs/>
        </w:rPr>
        <w:t xml:space="preserve">Macau:</w:t>
      </w:r>
      <w:r>
        <w:t xml:space="preserve"> </w:t>
      </w:r>
      <w:r>
        <w:t xml:space="preserve">How did mass drop, premium play, and market share trend through June and July?</w:t>
      </w:r>
    </w:p>
    <w:p>
      <w:pPr>
        <w:pStyle w:val="Compact"/>
        <w:numPr>
          <w:ilvl w:val="0"/>
          <w:numId w:val="1013"/>
        </w:numPr>
      </w:pPr>
      <w:r>
        <w:rPr>
          <w:b/>
          <w:bCs/>
        </w:rPr>
        <w:t xml:space="preserve">Hold:</w:t>
      </w:r>
      <w:r>
        <w:t xml:space="preserve"> </w:t>
      </w:r>
      <w:r>
        <w:t xml:space="preserve">How much of Q2 property EBITDAR was affected by gaming hold versus underlying volume?</w:t>
      </w:r>
    </w:p>
    <w:p>
      <w:pPr>
        <w:pStyle w:val="Compact"/>
        <w:numPr>
          <w:ilvl w:val="0"/>
          <w:numId w:val="1013"/>
        </w:numPr>
      </w:pPr>
      <w:r>
        <w:rPr>
          <w:b/>
          <w:bCs/>
        </w:rPr>
        <w:t xml:space="preserve">Las Vegas:</w:t>
      </w:r>
      <w:r>
        <w:t xml:space="preserve"> </w:t>
      </w:r>
      <w:r>
        <w:t xml:space="preserve">Has the Encore renovation changed ADR, occupancy, group pace, or operating expenses?</w:t>
      </w:r>
    </w:p>
    <w:p>
      <w:pPr>
        <w:pStyle w:val="Compact"/>
        <w:numPr>
          <w:ilvl w:val="0"/>
          <w:numId w:val="1013"/>
        </w:numPr>
      </w:pPr>
      <w:r>
        <w:rPr>
          <w:b/>
          <w:bCs/>
        </w:rPr>
        <w:t xml:space="preserve">Boston:</w:t>
      </w:r>
      <w:r>
        <w:t xml:space="preserve"> </w:t>
      </w:r>
      <w:r>
        <w:t xml:space="preserve">Are wage pressures moderating, and is the property returning to EBITDAR growth?</w:t>
      </w:r>
    </w:p>
    <w:p>
      <w:pPr>
        <w:pStyle w:val="Compact"/>
        <w:numPr>
          <w:ilvl w:val="0"/>
          <w:numId w:val="1013"/>
        </w:numPr>
      </w:pPr>
      <w:r>
        <w:rPr>
          <w:b/>
          <w:bCs/>
        </w:rPr>
        <w:t xml:space="preserve">Al Marjan:</w:t>
      </w:r>
      <w:r>
        <w:t xml:space="preserve"> </w:t>
      </w:r>
      <w:r>
        <w:t xml:space="preserve">What is the updated opening window, remaining equity requirement, and construction-budget outlook?</w:t>
      </w:r>
    </w:p>
    <w:p>
      <w:pPr>
        <w:pStyle w:val="Compact"/>
        <w:numPr>
          <w:ilvl w:val="0"/>
          <w:numId w:val="1013"/>
        </w:numPr>
      </w:pPr>
      <w:r>
        <w:rPr>
          <w:b/>
          <w:bCs/>
        </w:rPr>
        <w:t xml:space="preserve">Enclave:</w:t>
      </w:r>
      <w:r>
        <w:t xml:space="preserve"> </w:t>
      </w:r>
      <w:r>
        <w:t xml:space="preserve">When does material construction begin, and what is the expected opening date and capex cadence?</w:t>
      </w:r>
    </w:p>
    <w:p>
      <w:pPr>
        <w:pStyle w:val="Compact"/>
        <w:numPr>
          <w:ilvl w:val="0"/>
          <w:numId w:val="1013"/>
        </w:numPr>
      </w:pPr>
      <w:r>
        <w:rPr>
          <w:b/>
          <w:bCs/>
        </w:rPr>
        <w:t xml:space="preserve">Capital return:</w:t>
      </w:r>
      <w:r>
        <w:t xml:space="preserve"> </w:t>
      </w:r>
      <w:r>
        <w:t xml:space="preserve">Will the company sustain dividends and buybacks through the heavier development-spend period?</w:t>
      </w:r>
    </w:p>
    <w:p>
      <w:r>
        <w:pict>
          <v:rect style="width:0;height:1.5pt" o:hralign="center" o:hrstd="t" o:hr="t"/>
        </w:pict>
      </w:r>
    </w:p>
    <w:bookmarkEnd w:id="22"/>
    <w:bookmarkStart w:id="23" w:name="bottom-line"/>
    <w:p>
      <w:pPr>
        <w:pStyle w:val="Heading2"/>
      </w:pPr>
      <w:r>
        <w:t xml:space="preserve">Bottom line</w:t>
      </w:r>
    </w:p>
    <w:p>
      <w:pPr>
        <w:pStyle w:val="FirstParagraph"/>
      </w:pPr>
      <w:r>
        <w:t xml:space="preserve">WYNN’s Q2 report is likely to be judged principally on</w:t>
      </w:r>
      <w:r>
        <w:t xml:space="preserve"> </w:t>
      </w:r>
      <w:r>
        <w:rPr>
          <w:b/>
          <w:bCs/>
        </w:rPr>
        <w:t xml:space="preserve">quality of trends and forward commentary</w:t>
      </w:r>
      <w:r>
        <w:t xml:space="preserve">, rather than on headline EPS alone.</w:t>
      </w:r>
    </w:p>
    <w:p>
      <w:pPr>
        <w:pStyle w:val="BodyText"/>
      </w:pPr>
      <w:r>
        <w:t xml:space="preserve">A constructive report would feature:</w:t>
      </w:r>
    </w:p>
    <w:p>
      <w:pPr>
        <w:pStyle w:val="Compact"/>
        <w:numPr>
          <w:ilvl w:val="0"/>
          <w:numId w:val="1014"/>
        </w:numPr>
      </w:pPr>
      <w:r>
        <w:t xml:space="preserve">Continued Macau premium-mass growth and disciplined reinvestment;</w:t>
      </w:r>
    </w:p>
    <w:p>
      <w:pPr>
        <w:pStyle w:val="Compact"/>
        <w:numPr>
          <w:ilvl w:val="0"/>
          <w:numId w:val="1014"/>
        </w:numPr>
      </w:pPr>
      <w:r>
        <w:t xml:space="preserve">Las Vegas ADR and gaming-share resilience despite the room renovation;</w:t>
      </w:r>
    </w:p>
    <w:p>
      <w:pPr>
        <w:pStyle w:val="Compact"/>
        <w:numPr>
          <w:ilvl w:val="0"/>
          <w:numId w:val="1014"/>
        </w:numPr>
      </w:pPr>
      <w:r>
        <w:t xml:space="preserve">Stabilization in Boston;</w:t>
      </w:r>
    </w:p>
    <w:p>
      <w:pPr>
        <w:pStyle w:val="Compact"/>
        <w:numPr>
          <w:ilvl w:val="0"/>
          <w:numId w:val="1014"/>
        </w:numPr>
      </w:pPr>
      <w:r>
        <w:t xml:space="preserve">A quantified but contained Al Marjan delay, with no meaningful budget reset;</w:t>
      </w:r>
    </w:p>
    <w:p>
      <w:pPr>
        <w:pStyle w:val="Compact"/>
        <w:numPr>
          <w:ilvl w:val="0"/>
          <w:numId w:val="1014"/>
        </w:numPr>
      </w:pPr>
      <w:r>
        <w:t xml:space="preserve">Clear confirmation that Macau expansion capex remains controlled.</w:t>
      </w:r>
    </w:p>
    <w:p>
      <w:pPr>
        <w:pStyle w:val="FirstParagraph"/>
      </w:pPr>
      <w:r>
        <w:t xml:space="preserve">The principal downside scenario is not simply a modest earnings miss. It is a combination of softer Macau volumes or heavier promotions, Las Vegas margin pressure, and another increase in uncertainty around Al Marjan’s timing or cost. Given the current development cycle, the latter would likely matter most to the stock.</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2026-08-04T01:24:46Z</dcterms:created>
  <dcterms:modified xsi:type="dcterms:W3CDTF">2026-08-04T01:24:46Z</dcterms:modified>
</cp:coreProperties>
</file>

<file path=docProps/custom.xml><?xml version="1.0" encoding="utf-8"?>
<Properties xmlns="http://schemas.openxmlformats.org/officeDocument/2006/custom-properties" xmlns:vt="http://schemas.openxmlformats.org/officeDocument/2006/docPropsVTypes"/>
</file>